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3BCA" w14:textId="77777777" w:rsidR="001F0679" w:rsidRDefault="001F0679" w:rsidP="00D61749">
      <w:pPr>
        <w:ind w:left="-709"/>
        <w:rPr>
          <w:rFonts w:ascii="Myriad Pro" w:hAnsi="Myriad Pro" w:cs="Myriad Arabic"/>
        </w:rPr>
      </w:pPr>
    </w:p>
    <w:p w14:paraId="1C4BA8AD" w14:textId="77777777" w:rsidR="00CE78FE" w:rsidRDefault="00CE78FE" w:rsidP="008C5AC8">
      <w:pPr>
        <w:ind w:left="-709"/>
        <w:jc w:val="center"/>
        <w:rPr>
          <w:rFonts w:ascii="Myriad Pro" w:hAnsi="Myriad Pro" w:cs="Myriad Arabic"/>
        </w:rPr>
      </w:pPr>
      <w:r>
        <w:rPr>
          <w:rFonts w:ascii="Myriad Pro" w:hAnsi="Myriad Pro" w:cs="Myriad Arabic"/>
          <w:noProof/>
          <w:lang w:eastAsia="en-GB"/>
        </w:rPr>
        <w:drawing>
          <wp:inline distT="0" distB="0" distL="0" distR="0" wp14:anchorId="0FB58F2B" wp14:editId="43421B18">
            <wp:extent cx="2417938" cy="646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Title_ENG.png"/>
                    <pic:cNvPicPr/>
                  </pic:nvPicPr>
                  <pic:blipFill>
                    <a:blip r:embed="rId7">
                      <a:extLst>
                        <a:ext uri="{28A0092B-C50C-407E-A947-70E740481C1C}">
                          <a14:useLocalDpi xmlns:a14="http://schemas.microsoft.com/office/drawing/2010/main" val="0"/>
                        </a:ext>
                      </a:extLst>
                    </a:blip>
                    <a:stretch>
                      <a:fillRect/>
                    </a:stretch>
                  </pic:blipFill>
                  <pic:spPr>
                    <a:xfrm>
                      <a:off x="0" y="0"/>
                      <a:ext cx="2417938" cy="646870"/>
                    </a:xfrm>
                    <a:prstGeom prst="rect">
                      <a:avLst/>
                    </a:prstGeom>
                  </pic:spPr>
                </pic:pic>
              </a:graphicData>
            </a:graphic>
          </wp:inline>
        </w:drawing>
      </w:r>
    </w:p>
    <w:p w14:paraId="3EFA9DC7" w14:textId="059E9C9D" w:rsidR="00920EAB" w:rsidRDefault="00920EAB" w:rsidP="00920EAB">
      <w:pPr>
        <w:ind w:left="-567"/>
        <w:rPr>
          <w:rFonts w:ascii="Myriad Pro" w:hAnsi="Myriad Pro" w:cs="Myriad Arabic"/>
        </w:rPr>
      </w:pPr>
    </w:p>
    <w:p w14:paraId="6AB2EE06" w14:textId="570F6600" w:rsidR="00920EAB" w:rsidRPr="008C5AC8" w:rsidRDefault="001F0679" w:rsidP="008C5AC8">
      <w:pPr>
        <w:ind w:left="-567"/>
        <w:jc w:val="center"/>
        <w:rPr>
          <w:rFonts w:ascii="Arial" w:hAnsi="Arial" w:cs="Arial"/>
          <w:b/>
        </w:rPr>
      </w:pPr>
      <w:r w:rsidRPr="008C5AC8">
        <w:rPr>
          <w:rFonts w:ascii="Arial" w:hAnsi="Arial" w:cs="Arial"/>
          <w:b/>
        </w:rPr>
        <w:t>Regulatory Framework</w:t>
      </w:r>
    </w:p>
    <w:p w14:paraId="088291F5" w14:textId="77777777" w:rsidR="001F0679" w:rsidRPr="008C5AC8" w:rsidRDefault="001F0679" w:rsidP="001F0679">
      <w:pPr>
        <w:ind w:left="-567"/>
        <w:rPr>
          <w:rFonts w:ascii="Arial" w:hAnsi="Arial" w:cs="Arial"/>
          <w:b/>
        </w:rPr>
      </w:pPr>
    </w:p>
    <w:p w14:paraId="14261DA0" w14:textId="2BA5A41F" w:rsidR="001F0679" w:rsidRPr="008C5AC8" w:rsidRDefault="008C5AC8" w:rsidP="001F0679">
      <w:pPr>
        <w:ind w:left="-567"/>
        <w:rPr>
          <w:rFonts w:ascii="Arial" w:hAnsi="Arial" w:cs="Arial"/>
          <w:b/>
        </w:rPr>
      </w:pPr>
      <w:r>
        <w:rPr>
          <w:rFonts w:ascii="Arial" w:hAnsi="Arial" w:cs="Arial"/>
          <w:b/>
        </w:rPr>
        <w:br/>
      </w:r>
      <w:r w:rsidR="001F0679" w:rsidRPr="008C5AC8">
        <w:rPr>
          <w:rFonts w:ascii="Arial" w:hAnsi="Arial" w:cs="Arial"/>
          <w:b/>
        </w:rPr>
        <w:t xml:space="preserve">Background </w:t>
      </w:r>
    </w:p>
    <w:p w14:paraId="2A1679A2" w14:textId="77777777" w:rsidR="001F0679" w:rsidRPr="008C5AC8" w:rsidRDefault="001F0679" w:rsidP="001F0679">
      <w:pPr>
        <w:ind w:left="-567"/>
        <w:rPr>
          <w:rFonts w:ascii="Arial" w:hAnsi="Arial" w:cs="Arial"/>
          <w:u w:val="single"/>
        </w:rPr>
      </w:pPr>
    </w:p>
    <w:p w14:paraId="5F397434" w14:textId="2EFE3269" w:rsidR="001F0679" w:rsidRPr="008C5AC8" w:rsidRDefault="008C5AC8" w:rsidP="001F0679">
      <w:pPr>
        <w:ind w:left="-567"/>
        <w:rPr>
          <w:rFonts w:ascii="Arial" w:hAnsi="Arial" w:cs="Arial"/>
        </w:rPr>
      </w:pPr>
      <w:r>
        <w:rPr>
          <w:rFonts w:ascii="Arial" w:hAnsi="Arial" w:cs="Arial"/>
        </w:rPr>
        <w:t>Welsh Government has</w:t>
      </w:r>
      <w:r w:rsidR="001F0679" w:rsidRPr="008C5AC8">
        <w:rPr>
          <w:rFonts w:ascii="Arial" w:hAnsi="Arial" w:cs="Arial"/>
        </w:rPr>
        <w:t xml:space="preserve"> published the </w:t>
      </w:r>
      <w:r w:rsidR="00103B6A" w:rsidRPr="008C5AC8">
        <w:rPr>
          <w:rFonts w:ascii="Arial" w:hAnsi="Arial" w:cs="Arial"/>
        </w:rPr>
        <w:t>revised</w:t>
      </w:r>
      <w:r w:rsidR="001F0679" w:rsidRPr="008C5AC8">
        <w:rPr>
          <w:rFonts w:ascii="Arial" w:hAnsi="Arial" w:cs="Arial"/>
        </w:rPr>
        <w:t xml:space="preserve"> regulatory framework. </w:t>
      </w:r>
      <w:r w:rsidR="00103B6A" w:rsidRPr="008C5AC8">
        <w:rPr>
          <w:rFonts w:ascii="Arial" w:hAnsi="Arial" w:cs="Arial"/>
        </w:rPr>
        <w:t>The regulatory framework applies to those social landlords registered and regulated by the Welsh Ministers under Part 1 of the Housing Act 1996.</w:t>
      </w:r>
    </w:p>
    <w:p w14:paraId="7B45DC8A" w14:textId="77777777" w:rsidR="001F0679" w:rsidRPr="008C5AC8" w:rsidRDefault="001F0679" w:rsidP="001F0679">
      <w:pPr>
        <w:ind w:left="-567"/>
        <w:rPr>
          <w:rFonts w:ascii="Arial" w:hAnsi="Arial" w:cs="Arial"/>
        </w:rPr>
      </w:pPr>
    </w:p>
    <w:p w14:paraId="284AC43E" w14:textId="4105A5CF" w:rsidR="00842801" w:rsidRPr="008C5AC8" w:rsidRDefault="003A0616" w:rsidP="001F0679">
      <w:pPr>
        <w:ind w:left="-567"/>
        <w:rPr>
          <w:rFonts w:ascii="Arial" w:hAnsi="Arial" w:cs="Arial"/>
        </w:rPr>
      </w:pPr>
      <w:r w:rsidRPr="008C5AC8">
        <w:rPr>
          <w:rFonts w:ascii="Arial" w:hAnsi="Arial" w:cs="Arial"/>
        </w:rPr>
        <w:t xml:space="preserve">The publication of this framework follows </w:t>
      </w:r>
      <w:r w:rsidR="00842801" w:rsidRPr="008C5AC8">
        <w:rPr>
          <w:rFonts w:ascii="Arial" w:hAnsi="Arial" w:cs="Arial"/>
        </w:rPr>
        <w:t xml:space="preserve">work </w:t>
      </w:r>
      <w:r w:rsidR="00FA3080" w:rsidRPr="008C5AC8">
        <w:rPr>
          <w:rFonts w:ascii="Arial" w:hAnsi="Arial" w:cs="Arial"/>
        </w:rPr>
        <w:t xml:space="preserve">undertaken </w:t>
      </w:r>
      <w:r w:rsidR="00103B6A" w:rsidRPr="008C5AC8">
        <w:rPr>
          <w:rFonts w:ascii="Arial" w:hAnsi="Arial" w:cs="Arial"/>
        </w:rPr>
        <w:t xml:space="preserve">with housing </w:t>
      </w:r>
      <w:r w:rsidR="00970F60" w:rsidRPr="008C5AC8">
        <w:rPr>
          <w:rFonts w:ascii="Arial" w:hAnsi="Arial" w:cs="Arial"/>
        </w:rPr>
        <w:t>associations</w:t>
      </w:r>
      <w:r w:rsidR="00103B6A" w:rsidRPr="008C5AC8">
        <w:rPr>
          <w:rFonts w:ascii="Arial" w:hAnsi="Arial" w:cs="Arial"/>
        </w:rPr>
        <w:t xml:space="preserve"> and CHC last year</w:t>
      </w:r>
      <w:r w:rsidR="00842801" w:rsidRPr="008C5AC8">
        <w:rPr>
          <w:rFonts w:ascii="Arial" w:hAnsi="Arial" w:cs="Arial"/>
        </w:rPr>
        <w:t xml:space="preserve">. This publication now completes the documentation to support the revised framework, which will be piloted for a year. </w:t>
      </w:r>
    </w:p>
    <w:p w14:paraId="10B6DF07" w14:textId="77777777" w:rsidR="00FA3080" w:rsidRPr="008C5AC8" w:rsidRDefault="00FA3080" w:rsidP="001F0679">
      <w:pPr>
        <w:ind w:left="-567"/>
        <w:rPr>
          <w:rFonts w:ascii="Arial" w:hAnsi="Arial" w:cs="Arial"/>
        </w:rPr>
      </w:pPr>
    </w:p>
    <w:p w14:paraId="5296C770" w14:textId="657BDC2D" w:rsidR="00FA3080" w:rsidRPr="008C5AC8" w:rsidRDefault="00FA3080" w:rsidP="001F0679">
      <w:pPr>
        <w:ind w:left="-567"/>
        <w:rPr>
          <w:rFonts w:ascii="Arial" w:hAnsi="Arial" w:cs="Arial"/>
        </w:rPr>
      </w:pPr>
      <w:r w:rsidRPr="008C5AC8">
        <w:rPr>
          <w:rFonts w:ascii="Arial" w:hAnsi="Arial" w:cs="Arial"/>
        </w:rPr>
        <w:t xml:space="preserve">The revised framework has a focus on good governance and financial viability. This will include how the Board is assured that its primary responsibility of ensuring the effective running of the association is discharged fully. </w:t>
      </w:r>
    </w:p>
    <w:p w14:paraId="49596253" w14:textId="77777777" w:rsidR="00842801" w:rsidRPr="008C5AC8" w:rsidRDefault="00842801" w:rsidP="001F0679">
      <w:pPr>
        <w:ind w:left="-567"/>
        <w:rPr>
          <w:rFonts w:ascii="Arial" w:hAnsi="Arial" w:cs="Arial"/>
        </w:rPr>
      </w:pPr>
    </w:p>
    <w:p w14:paraId="2C1878AB" w14:textId="68E0AD79" w:rsidR="00842801" w:rsidRPr="008C5AC8" w:rsidRDefault="008C5AC8" w:rsidP="001F0679">
      <w:pPr>
        <w:ind w:left="-567"/>
        <w:rPr>
          <w:rFonts w:ascii="Arial" w:hAnsi="Arial" w:cs="Arial"/>
          <w:b/>
        </w:rPr>
      </w:pPr>
      <w:r>
        <w:rPr>
          <w:rFonts w:ascii="Arial" w:hAnsi="Arial" w:cs="Arial"/>
          <w:u w:val="single"/>
        </w:rPr>
        <w:br/>
      </w:r>
      <w:r w:rsidR="00842801" w:rsidRPr="008C5AC8">
        <w:rPr>
          <w:rFonts w:ascii="Arial" w:hAnsi="Arial" w:cs="Arial"/>
          <w:b/>
        </w:rPr>
        <w:t xml:space="preserve">What are the key principles of the new framework? </w:t>
      </w:r>
    </w:p>
    <w:p w14:paraId="6485AC55" w14:textId="77777777" w:rsidR="00842801" w:rsidRPr="008C5AC8" w:rsidRDefault="00842801" w:rsidP="001F0679">
      <w:pPr>
        <w:ind w:left="-567"/>
        <w:rPr>
          <w:rFonts w:ascii="Arial" w:hAnsi="Arial" w:cs="Arial"/>
          <w:u w:val="single"/>
        </w:rPr>
      </w:pPr>
    </w:p>
    <w:p w14:paraId="7FC76A60" w14:textId="026BB802" w:rsidR="00842801" w:rsidRPr="008C5AC8" w:rsidRDefault="00842801" w:rsidP="0071547E">
      <w:pPr>
        <w:pStyle w:val="ListParagraph"/>
        <w:numPr>
          <w:ilvl w:val="0"/>
          <w:numId w:val="7"/>
        </w:numPr>
        <w:rPr>
          <w:rFonts w:ascii="Arial" w:hAnsi="Arial" w:cs="Arial"/>
        </w:rPr>
      </w:pPr>
      <w:r w:rsidRPr="008C5AC8">
        <w:rPr>
          <w:rFonts w:ascii="Arial" w:hAnsi="Arial" w:cs="Arial"/>
        </w:rPr>
        <w:t xml:space="preserve">Tenants at the heart </w:t>
      </w:r>
      <w:r w:rsidR="0027799F" w:rsidRPr="008C5AC8">
        <w:rPr>
          <w:rFonts w:ascii="Arial" w:hAnsi="Arial" w:cs="Arial"/>
        </w:rPr>
        <w:t xml:space="preserve">of regulation. </w:t>
      </w:r>
    </w:p>
    <w:p w14:paraId="06082B24" w14:textId="159B694D" w:rsidR="0027799F" w:rsidRPr="008C5AC8" w:rsidRDefault="0027799F" w:rsidP="0071547E">
      <w:pPr>
        <w:pStyle w:val="ListParagraph"/>
        <w:numPr>
          <w:ilvl w:val="0"/>
          <w:numId w:val="7"/>
        </w:numPr>
        <w:rPr>
          <w:rFonts w:ascii="Arial" w:hAnsi="Arial" w:cs="Arial"/>
        </w:rPr>
      </w:pPr>
      <w:r w:rsidRPr="008C5AC8">
        <w:rPr>
          <w:rFonts w:ascii="Arial" w:hAnsi="Arial" w:cs="Arial"/>
        </w:rPr>
        <w:t>The R</w:t>
      </w:r>
      <w:r w:rsidR="008C5AC8">
        <w:rPr>
          <w:rFonts w:ascii="Arial" w:hAnsi="Arial" w:cs="Arial"/>
        </w:rPr>
        <w:t>egulatory Board for Wales (RBW)</w:t>
      </w:r>
      <w:r w:rsidRPr="008C5AC8">
        <w:rPr>
          <w:rFonts w:ascii="Arial" w:hAnsi="Arial" w:cs="Arial"/>
        </w:rPr>
        <w:t>: The RBW is an ad</w:t>
      </w:r>
      <w:r w:rsidR="008C5AC8">
        <w:rPr>
          <w:rFonts w:ascii="Arial" w:hAnsi="Arial" w:cs="Arial"/>
        </w:rPr>
        <w:t xml:space="preserve">visory board established by </w:t>
      </w:r>
      <w:r w:rsidRPr="008C5AC8">
        <w:rPr>
          <w:rFonts w:ascii="Arial" w:hAnsi="Arial" w:cs="Arial"/>
        </w:rPr>
        <w:t xml:space="preserve">Welsh Government to oversee the operation of the regulatory framework. </w:t>
      </w:r>
    </w:p>
    <w:p w14:paraId="2048DA24" w14:textId="15A75169" w:rsidR="00842801" w:rsidRPr="008C5AC8" w:rsidRDefault="008C5AC8" w:rsidP="0071547E">
      <w:pPr>
        <w:pStyle w:val="ListParagraph"/>
        <w:numPr>
          <w:ilvl w:val="0"/>
          <w:numId w:val="7"/>
        </w:numPr>
        <w:rPr>
          <w:rFonts w:ascii="Arial" w:hAnsi="Arial" w:cs="Arial"/>
        </w:rPr>
      </w:pPr>
      <w:r>
        <w:rPr>
          <w:rFonts w:ascii="Arial" w:hAnsi="Arial" w:cs="Arial"/>
        </w:rPr>
        <w:t>Co-regulation</w:t>
      </w:r>
      <w:r w:rsidR="0027799F" w:rsidRPr="008C5AC8">
        <w:rPr>
          <w:rFonts w:ascii="Arial" w:hAnsi="Arial" w:cs="Arial"/>
        </w:rPr>
        <w:t xml:space="preserve">: This </w:t>
      </w:r>
      <w:r w:rsidR="00103B6A" w:rsidRPr="008C5AC8">
        <w:rPr>
          <w:rFonts w:ascii="Arial" w:hAnsi="Arial" w:cs="Arial"/>
        </w:rPr>
        <w:t xml:space="preserve">continues to act as the principle upon which the approach to regulation is based. </w:t>
      </w:r>
    </w:p>
    <w:p w14:paraId="26031275" w14:textId="77777777" w:rsidR="0071547E" w:rsidRPr="008C5AC8" w:rsidRDefault="0071547E" w:rsidP="001F0679">
      <w:pPr>
        <w:ind w:left="-567"/>
        <w:rPr>
          <w:rFonts w:ascii="Arial" w:hAnsi="Arial" w:cs="Arial"/>
          <w:u w:val="single"/>
        </w:rPr>
      </w:pPr>
    </w:p>
    <w:p w14:paraId="3DDC6389" w14:textId="4EEAE696" w:rsidR="0027799F" w:rsidRPr="008C5AC8" w:rsidRDefault="008C5AC8" w:rsidP="001F0679">
      <w:pPr>
        <w:ind w:left="-567"/>
        <w:rPr>
          <w:rFonts w:ascii="Arial" w:hAnsi="Arial" w:cs="Arial"/>
          <w:b/>
        </w:rPr>
      </w:pPr>
      <w:r>
        <w:rPr>
          <w:rFonts w:ascii="Arial" w:hAnsi="Arial" w:cs="Arial"/>
          <w:u w:val="single"/>
        </w:rPr>
        <w:br/>
      </w:r>
      <w:r w:rsidR="00970F60" w:rsidRPr="008C5AC8">
        <w:rPr>
          <w:rFonts w:ascii="Arial" w:hAnsi="Arial" w:cs="Arial"/>
          <w:b/>
        </w:rPr>
        <w:t xml:space="preserve">What will be the approach of the regulator? </w:t>
      </w:r>
    </w:p>
    <w:p w14:paraId="0B974E26" w14:textId="77777777" w:rsidR="002A0393" w:rsidRPr="008C5AC8" w:rsidRDefault="002A0393" w:rsidP="001F0679">
      <w:pPr>
        <w:ind w:left="-567"/>
        <w:rPr>
          <w:rFonts w:ascii="Arial" w:hAnsi="Arial" w:cs="Arial"/>
          <w:u w:val="single"/>
        </w:rPr>
      </w:pPr>
    </w:p>
    <w:p w14:paraId="469DBCEE" w14:textId="3DC81CCC" w:rsidR="002A0393" w:rsidRPr="008C5AC8" w:rsidRDefault="00FA3080" w:rsidP="001F0679">
      <w:pPr>
        <w:ind w:left="-567"/>
        <w:rPr>
          <w:rFonts w:ascii="Arial" w:hAnsi="Arial" w:cs="Arial"/>
        </w:rPr>
      </w:pPr>
      <w:r w:rsidRPr="008C5AC8">
        <w:rPr>
          <w:rFonts w:ascii="Arial" w:hAnsi="Arial" w:cs="Arial"/>
        </w:rPr>
        <w:t>The r</w:t>
      </w:r>
      <w:r w:rsidR="002A0393" w:rsidRPr="008C5AC8">
        <w:rPr>
          <w:rFonts w:ascii="Arial" w:hAnsi="Arial" w:cs="Arial"/>
        </w:rPr>
        <w:t xml:space="preserve">egulatory focus will concentrate on strategic risks and business viability issues. </w:t>
      </w:r>
    </w:p>
    <w:p w14:paraId="14B4F974" w14:textId="77777777" w:rsidR="00FA3080" w:rsidRPr="008C5AC8" w:rsidRDefault="00FA3080" w:rsidP="001F0679">
      <w:pPr>
        <w:ind w:left="-567"/>
        <w:rPr>
          <w:rFonts w:ascii="Arial" w:hAnsi="Arial" w:cs="Arial"/>
          <w:u w:val="single"/>
        </w:rPr>
      </w:pPr>
    </w:p>
    <w:p w14:paraId="4E3F7C32" w14:textId="6FCA3312" w:rsidR="00970F60" w:rsidRPr="008C5AC8" w:rsidRDefault="00970F60" w:rsidP="00970F60">
      <w:pPr>
        <w:pStyle w:val="ListParagraph"/>
        <w:numPr>
          <w:ilvl w:val="0"/>
          <w:numId w:val="8"/>
        </w:numPr>
        <w:rPr>
          <w:rFonts w:ascii="Arial" w:hAnsi="Arial" w:cs="Arial"/>
        </w:rPr>
      </w:pPr>
      <w:r w:rsidRPr="008C5AC8">
        <w:rPr>
          <w:rFonts w:ascii="Arial" w:hAnsi="Arial" w:cs="Arial"/>
        </w:rPr>
        <w:t xml:space="preserve">Proportionate: risk based, not one size fits all. </w:t>
      </w:r>
    </w:p>
    <w:p w14:paraId="40746AE6" w14:textId="3B16285C" w:rsidR="00970F60" w:rsidRPr="008C5AC8" w:rsidRDefault="00970F60" w:rsidP="00970F60">
      <w:pPr>
        <w:pStyle w:val="ListParagraph"/>
        <w:numPr>
          <w:ilvl w:val="0"/>
          <w:numId w:val="8"/>
        </w:numPr>
        <w:rPr>
          <w:rFonts w:ascii="Arial" w:hAnsi="Arial" w:cs="Arial"/>
        </w:rPr>
      </w:pPr>
      <w:r w:rsidRPr="008C5AC8">
        <w:rPr>
          <w:rFonts w:ascii="Arial" w:hAnsi="Arial" w:cs="Arial"/>
        </w:rPr>
        <w:t xml:space="preserve">Transparent and open: encourage sharing of information and being clear about how decisions are made.  </w:t>
      </w:r>
    </w:p>
    <w:p w14:paraId="26D8C5E6" w14:textId="36FE077D" w:rsidR="00970F60" w:rsidRPr="008C5AC8" w:rsidRDefault="00970F60" w:rsidP="00970F60">
      <w:pPr>
        <w:pStyle w:val="ListParagraph"/>
        <w:numPr>
          <w:ilvl w:val="0"/>
          <w:numId w:val="8"/>
        </w:numPr>
        <w:rPr>
          <w:rFonts w:ascii="Arial" w:hAnsi="Arial" w:cs="Arial"/>
        </w:rPr>
      </w:pPr>
      <w:r w:rsidRPr="008C5AC8">
        <w:rPr>
          <w:rFonts w:ascii="Arial" w:hAnsi="Arial" w:cs="Arial"/>
        </w:rPr>
        <w:t xml:space="preserve">Consistent: ensure consistency across the regulatory judgements.  </w:t>
      </w:r>
    </w:p>
    <w:p w14:paraId="34BF2E69" w14:textId="53C0E630" w:rsidR="00970F60" w:rsidRPr="008C5AC8" w:rsidRDefault="00970F60" w:rsidP="00970F60">
      <w:pPr>
        <w:pStyle w:val="ListParagraph"/>
        <w:numPr>
          <w:ilvl w:val="0"/>
          <w:numId w:val="8"/>
        </w:numPr>
        <w:rPr>
          <w:rFonts w:ascii="Arial" w:hAnsi="Arial" w:cs="Arial"/>
        </w:rPr>
      </w:pPr>
      <w:r w:rsidRPr="008C5AC8">
        <w:rPr>
          <w:rFonts w:ascii="Arial" w:hAnsi="Arial" w:cs="Arial"/>
        </w:rPr>
        <w:t xml:space="preserve">Promote continuous improvement and learning: using insight and challenge to help associations to improve and support the sector as a whole. </w:t>
      </w:r>
    </w:p>
    <w:p w14:paraId="4B24322B" w14:textId="77777777" w:rsidR="00970F60" w:rsidRPr="008C5AC8" w:rsidRDefault="00970F60" w:rsidP="001F0679">
      <w:pPr>
        <w:ind w:left="-567"/>
        <w:rPr>
          <w:rFonts w:ascii="Arial" w:hAnsi="Arial" w:cs="Arial"/>
          <w:u w:val="single"/>
        </w:rPr>
      </w:pPr>
    </w:p>
    <w:p w14:paraId="773126CC" w14:textId="249CE03C" w:rsidR="00842801" w:rsidRPr="008C5AC8" w:rsidRDefault="008C5AC8" w:rsidP="001F0679">
      <w:pPr>
        <w:ind w:left="-567"/>
        <w:rPr>
          <w:rFonts w:ascii="Arial" w:hAnsi="Arial" w:cs="Arial"/>
          <w:b/>
        </w:rPr>
      </w:pPr>
      <w:r>
        <w:rPr>
          <w:rFonts w:ascii="Arial" w:hAnsi="Arial" w:cs="Arial"/>
          <w:u w:val="single"/>
        </w:rPr>
        <w:br/>
      </w:r>
      <w:r w:rsidR="00842801" w:rsidRPr="008C5AC8">
        <w:rPr>
          <w:rFonts w:ascii="Arial" w:hAnsi="Arial" w:cs="Arial"/>
          <w:b/>
        </w:rPr>
        <w:t xml:space="preserve">What is different about the new approach? </w:t>
      </w:r>
    </w:p>
    <w:p w14:paraId="272CF231" w14:textId="77777777" w:rsidR="00842801" w:rsidRPr="008C5AC8" w:rsidRDefault="00842801" w:rsidP="001F0679">
      <w:pPr>
        <w:ind w:left="-567"/>
        <w:rPr>
          <w:rFonts w:ascii="Arial" w:hAnsi="Arial" w:cs="Arial"/>
          <w:u w:val="single"/>
        </w:rPr>
      </w:pPr>
    </w:p>
    <w:p w14:paraId="6648086D" w14:textId="37C6D684" w:rsidR="00842801" w:rsidRPr="008C5AC8" w:rsidRDefault="0071547E" w:rsidP="001F0679">
      <w:pPr>
        <w:ind w:left="-567"/>
        <w:rPr>
          <w:rFonts w:ascii="Arial" w:hAnsi="Arial" w:cs="Arial"/>
        </w:rPr>
      </w:pPr>
      <w:r w:rsidRPr="008C5AC8">
        <w:rPr>
          <w:rFonts w:ascii="Arial" w:hAnsi="Arial" w:cs="Arial"/>
          <w:b/>
        </w:rPr>
        <w:t xml:space="preserve">Performance standards replace delivery outcomes: </w:t>
      </w:r>
      <w:r w:rsidR="00842801" w:rsidRPr="008C5AC8">
        <w:rPr>
          <w:rFonts w:ascii="Arial" w:hAnsi="Arial" w:cs="Arial"/>
        </w:rPr>
        <w:t>The new framework has a strong focus on the ‘business breakers</w:t>
      </w:r>
      <w:r w:rsidRPr="008C5AC8">
        <w:rPr>
          <w:rFonts w:ascii="Arial" w:hAnsi="Arial" w:cs="Arial"/>
        </w:rPr>
        <w:t>’ within an organisation</w:t>
      </w:r>
      <w:r w:rsidR="008C5AC8">
        <w:rPr>
          <w:rFonts w:ascii="Arial" w:hAnsi="Arial" w:cs="Arial"/>
        </w:rPr>
        <w:t>, including</w:t>
      </w:r>
      <w:r w:rsidR="00FA3080" w:rsidRPr="008C5AC8">
        <w:rPr>
          <w:rFonts w:ascii="Arial" w:hAnsi="Arial" w:cs="Arial"/>
        </w:rPr>
        <w:t xml:space="preserve"> financial viability and governance</w:t>
      </w:r>
      <w:r w:rsidRPr="008C5AC8">
        <w:rPr>
          <w:rFonts w:ascii="Arial" w:hAnsi="Arial" w:cs="Arial"/>
        </w:rPr>
        <w:t xml:space="preserve">. This has meant that the delivery outcomes have been replaced with a set of performance standards. The performance standards identify the core elements of a strong organisation and </w:t>
      </w:r>
      <w:r w:rsidR="008C5AC8">
        <w:rPr>
          <w:rFonts w:ascii="Arial" w:hAnsi="Arial" w:cs="Arial"/>
        </w:rPr>
        <w:t>focus</w:t>
      </w:r>
      <w:r w:rsidRPr="008C5AC8">
        <w:rPr>
          <w:rFonts w:ascii="Arial" w:hAnsi="Arial" w:cs="Arial"/>
        </w:rPr>
        <w:t xml:space="preserve"> regulat</w:t>
      </w:r>
      <w:r w:rsidR="008C5AC8">
        <w:rPr>
          <w:rFonts w:ascii="Arial" w:hAnsi="Arial" w:cs="Arial"/>
        </w:rPr>
        <w:t xml:space="preserve">ory focus upwards to the Board, </w:t>
      </w:r>
      <w:r w:rsidRPr="008C5AC8">
        <w:rPr>
          <w:rFonts w:ascii="Arial" w:hAnsi="Arial" w:cs="Arial"/>
        </w:rPr>
        <w:t>executive</w:t>
      </w:r>
      <w:r w:rsidR="008C5AC8">
        <w:rPr>
          <w:rFonts w:ascii="Arial" w:hAnsi="Arial" w:cs="Arial"/>
        </w:rPr>
        <w:t xml:space="preserve"> </w:t>
      </w:r>
      <w:r w:rsidRPr="008C5AC8">
        <w:rPr>
          <w:rFonts w:ascii="Arial" w:hAnsi="Arial" w:cs="Arial"/>
        </w:rPr>
        <w:t>and the viability of the organisation</w:t>
      </w:r>
      <w:r w:rsidR="008C5AC8">
        <w:rPr>
          <w:rFonts w:ascii="Arial" w:hAnsi="Arial" w:cs="Arial"/>
        </w:rPr>
        <w:t>,</w:t>
      </w:r>
      <w:r w:rsidRPr="008C5AC8">
        <w:rPr>
          <w:rFonts w:ascii="Arial" w:hAnsi="Arial" w:cs="Arial"/>
        </w:rPr>
        <w:t xml:space="preserve"> and away from operational level decision making. Alongside each performance standard is a short narrative which sets out some more guidance on how that standard should be interpreted. The regulator will use the performance standards to make a judgement </w:t>
      </w:r>
      <w:r w:rsidR="0027799F" w:rsidRPr="008C5AC8">
        <w:rPr>
          <w:rFonts w:ascii="Arial" w:hAnsi="Arial" w:cs="Arial"/>
        </w:rPr>
        <w:t xml:space="preserve">on the organisation’s capacity to improve. </w:t>
      </w:r>
    </w:p>
    <w:p w14:paraId="74783DF2" w14:textId="77777777" w:rsidR="00842801" w:rsidRPr="008C5AC8" w:rsidRDefault="00842801" w:rsidP="001F0679">
      <w:pPr>
        <w:ind w:left="-567"/>
        <w:rPr>
          <w:rFonts w:ascii="Arial" w:hAnsi="Arial" w:cs="Arial"/>
          <w:u w:val="single"/>
        </w:rPr>
      </w:pPr>
    </w:p>
    <w:p w14:paraId="1F33D9D4" w14:textId="0D4A3478" w:rsidR="00103B6A" w:rsidRPr="008C5AC8" w:rsidRDefault="00842801" w:rsidP="001F0679">
      <w:pPr>
        <w:ind w:left="-567"/>
        <w:rPr>
          <w:rFonts w:ascii="Arial" w:hAnsi="Arial" w:cs="Arial"/>
          <w:b/>
        </w:rPr>
      </w:pPr>
      <w:r w:rsidRPr="008C5AC8">
        <w:rPr>
          <w:rFonts w:ascii="Arial" w:hAnsi="Arial" w:cs="Arial"/>
          <w:b/>
        </w:rPr>
        <w:t>A</w:t>
      </w:r>
      <w:r w:rsidR="00970F60" w:rsidRPr="008C5AC8">
        <w:rPr>
          <w:rFonts w:ascii="Arial" w:hAnsi="Arial" w:cs="Arial"/>
          <w:b/>
        </w:rPr>
        <w:t>n annual statement of c</w:t>
      </w:r>
      <w:r w:rsidRPr="008C5AC8">
        <w:rPr>
          <w:rFonts w:ascii="Arial" w:hAnsi="Arial" w:cs="Arial"/>
          <w:b/>
        </w:rPr>
        <w:t>ompliance</w:t>
      </w:r>
      <w:r w:rsidR="00970F60" w:rsidRPr="008C5AC8">
        <w:rPr>
          <w:rFonts w:ascii="Arial" w:hAnsi="Arial" w:cs="Arial"/>
          <w:b/>
        </w:rPr>
        <w:t xml:space="preserve">: </w:t>
      </w:r>
      <w:r w:rsidR="00970F60" w:rsidRPr="008C5AC8">
        <w:rPr>
          <w:rFonts w:ascii="Arial" w:hAnsi="Arial" w:cs="Arial"/>
        </w:rPr>
        <w:t xml:space="preserve">A statement written by the board which sets out if it is satisfied or assured it meets all of the performance standards. </w:t>
      </w:r>
      <w:r w:rsidR="00FA3080" w:rsidRPr="008C5AC8">
        <w:rPr>
          <w:rFonts w:ascii="Arial" w:hAnsi="Arial" w:cs="Arial"/>
        </w:rPr>
        <w:t xml:space="preserve"> Associations should ensure that they have an evidence base to support their annual statement of compliance. </w:t>
      </w:r>
      <w:r w:rsidR="00970F60" w:rsidRPr="008C5AC8">
        <w:rPr>
          <w:rFonts w:ascii="Arial" w:hAnsi="Arial" w:cs="Arial"/>
        </w:rPr>
        <w:t>The regulator has a template compliance statement which can be used by association</w:t>
      </w:r>
      <w:r w:rsidR="002A0393" w:rsidRPr="008C5AC8">
        <w:rPr>
          <w:rFonts w:ascii="Arial" w:hAnsi="Arial" w:cs="Arial"/>
        </w:rPr>
        <w:t>s</w:t>
      </w:r>
      <w:r w:rsidR="00970F60" w:rsidRPr="008C5AC8">
        <w:rPr>
          <w:rFonts w:ascii="Arial" w:hAnsi="Arial" w:cs="Arial"/>
        </w:rPr>
        <w:t xml:space="preserve"> should they wish.</w:t>
      </w:r>
      <w:r w:rsidR="00970F60" w:rsidRPr="008C5AC8">
        <w:rPr>
          <w:rFonts w:ascii="Arial" w:hAnsi="Arial" w:cs="Arial"/>
          <w:b/>
        </w:rPr>
        <w:t xml:space="preserve"> </w:t>
      </w:r>
    </w:p>
    <w:p w14:paraId="43EA5676" w14:textId="77777777" w:rsidR="00103B6A" w:rsidRPr="008C5AC8" w:rsidRDefault="00103B6A" w:rsidP="001F0679">
      <w:pPr>
        <w:ind w:left="-567"/>
        <w:rPr>
          <w:rFonts w:ascii="Arial" w:hAnsi="Arial" w:cs="Arial"/>
          <w:b/>
        </w:rPr>
      </w:pPr>
    </w:p>
    <w:p w14:paraId="02957D25" w14:textId="30EFF59F" w:rsidR="00842801" w:rsidRPr="008C5AC8" w:rsidRDefault="00103B6A" w:rsidP="001F0679">
      <w:pPr>
        <w:ind w:left="-567"/>
        <w:rPr>
          <w:rFonts w:ascii="Arial" w:hAnsi="Arial" w:cs="Arial"/>
        </w:rPr>
      </w:pPr>
      <w:r w:rsidRPr="008C5AC8">
        <w:rPr>
          <w:rFonts w:ascii="Arial" w:hAnsi="Arial" w:cs="Arial"/>
          <w:b/>
        </w:rPr>
        <w:t xml:space="preserve">A clear regulatory judgement: </w:t>
      </w:r>
      <w:r w:rsidR="0027799F" w:rsidRPr="008C5AC8">
        <w:rPr>
          <w:rFonts w:ascii="Arial" w:hAnsi="Arial" w:cs="Arial"/>
        </w:rPr>
        <w:t>Regulatory judgments will be published at least annually for each housing association in Wales. This wi</w:t>
      </w:r>
      <w:r w:rsidR="008C5AC8">
        <w:rPr>
          <w:rFonts w:ascii="Arial" w:hAnsi="Arial" w:cs="Arial"/>
        </w:rPr>
        <w:t>ll include a judgement of each housing a</w:t>
      </w:r>
      <w:r w:rsidR="0027799F" w:rsidRPr="008C5AC8">
        <w:rPr>
          <w:rFonts w:ascii="Arial" w:hAnsi="Arial" w:cs="Arial"/>
        </w:rPr>
        <w:t>ssociation’s ‘capacity to improve’ on governance and financial viability. Regulatory judgements</w:t>
      </w:r>
      <w:r w:rsidRPr="008C5AC8">
        <w:rPr>
          <w:rFonts w:ascii="Arial" w:hAnsi="Arial" w:cs="Arial"/>
        </w:rPr>
        <w:t xml:space="preserve"> will now include a co-regulation </w:t>
      </w:r>
      <w:r w:rsidR="0027799F" w:rsidRPr="008C5AC8">
        <w:rPr>
          <w:rFonts w:ascii="Arial" w:hAnsi="Arial" w:cs="Arial"/>
        </w:rPr>
        <w:t xml:space="preserve">judgment level </w:t>
      </w:r>
      <w:r w:rsidRPr="008C5AC8">
        <w:rPr>
          <w:rFonts w:ascii="Arial" w:hAnsi="Arial" w:cs="Arial"/>
        </w:rPr>
        <w:t xml:space="preserve">on </w:t>
      </w:r>
      <w:r w:rsidR="0027799F" w:rsidRPr="008C5AC8">
        <w:rPr>
          <w:rFonts w:ascii="Arial" w:hAnsi="Arial" w:cs="Arial"/>
        </w:rPr>
        <w:t xml:space="preserve">governance (including service quality) and on financial viability. This judgement is based on the new performance standards. </w:t>
      </w:r>
    </w:p>
    <w:p w14:paraId="3BEE9423" w14:textId="77777777" w:rsidR="00842801" w:rsidRPr="008C5AC8" w:rsidRDefault="00842801" w:rsidP="001F0679">
      <w:pPr>
        <w:ind w:left="-567"/>
        <w:rPr>
          <w:rFonts w:ascii="Arial" w:hAnsi="Arial" w:cs="Arial"/>
          <w:b/>
        </w:rPr>
      </w:pPr>
    </w:p>
    <w:p w14:paraId="3CE6C741" w14:textId="72B8CF91" w:rsidR="00842801" w:rsidRPr="008C5AC8" w:rsidRDefault="00FA3080" w:rsidP="001F0679">
      <w:pPr>
        <w:ind w:left="-567"/>
        <w:rPr>
          <w:rFonts w:ascii="Arial" w:hAnsi="Arial" w:cs="Arial"/>
        </w:rPr>
      </w:pPr>
      <w:r w:rsidRPr="008C5AC8">
        <w:rPr>
          <w:rFonts w:ascii="Arial" w:hAnsi="Arial" w:cs="Arial"/>
          <w:b/>
        </w:rPr>
        <w:t>Self-evaluation</w:t>
      </w:r>
      <w:r w:rsidR="002A0393" w:rsidRPr="008C5AC8">
        <w:rPr>
          <w:rFonts w:ascii="Arial" w:hAnsi="Arial" w:cs="Arial"/>
          <w:b/>
        </w:rPr>
        <w:t>:</w:t>
      </w:r>
      <w:r w:rsidR="002A0393" w:rsidRPr="008C5AC8">
        <w:rPr>
          <w:rFonts w:ascii="Arial" w:hAnsi="Arial" w:cs="Arial"/>
        </w:rPr>
        <w:t xml:space="preserve"> Regular </w:t>
      </w:r>
      <w:r w:rsidRPr="008C5AC8">
        <w:rPr>
          <w:rFonts w:ascii="Arial" w:hAnsi="Arial" w:cs="Arial"/>
        </w:rPr>
        <w:t>self-evaluations</w:t>
      </w:r>
      <w:r w:rsidR="002A0393" w:rsidRPr="008C5AC8">
        <w:rPr>
          <w:rFonts w:ascii="Arial" w:hAnsi="Arial" w:cs="Arial"/>
        </w:rPr>
        <w:t xml:space="preserve"> should continue to be undertaken and should be accessible to tenants. </w:t>
      </w:r>
    </w:p>
    <w:p w14:paraId="7C76DDF4" w14:textId="77777777" w:rsidR="00842801" w:rsidRPr="008C5AC8" w:rsidRDefault="00842801" w:rsidP="001F0679">
      <w:pPr>
        <w:ind w:left="-567"/>
        <w:rPr>
          <w:rFonts w:ascii="Arial" w:hAnsi="Arial" w:cs="Arial"/>
        </w:rPr>
      </w:pPr>
    </w:p>
    <w:p w14:paraId="23ABD3A9" w14:textId="45455FF5" w:rsidR="0071547E" w:rsidRPr="008C5AC8" w:rsidRDefault="008C5AC8" w:rsidP="001F0679">
      <w:pPr>
        <w:ind w:left="-567"/>
        <w:rPr>
          <w:rFonts w:ascii="Arial" w:hAnsi="Arial" w:cs="Arial"/>
          <w:b/>
        </w:rPr>
      </w:pPr>
      <w:r>
        <w:rPr>
          <w:rFonts w:ascii="Arial" w:hAnsi="Arial" w:cs="Arial"/>
          <w:u w:val="single"/>
        </w:rPr>
        <w:br/>
      </w:r>
      <w:r>
        <w:rPr>
          <w:rFonts w:ascii="Arial" w:hAnsi="Arial" w:cs="Arial"/>
          <w:b/>
        </w:rPr>
        <w:br/>
      </w:r>
      <w:r w:rsidR="0071547E" w:rsidRPr="008C5AC8">
        <w:rPr>
          <w:rFonts w:ascii="Arial" w:hAnsi="Arial" w:cs="Arial"/>
          <w:b/>
        </w:rPr>
        <w:t xml:space="preserve">What information will the regulator use to develop its judgement about a housing association? </w:t>
      </w:r>
    </w:p>
    <w:p w14:paraId="7308DD2D" w14:textId="77777777" w:rsidR="002A0393" w:rsidRPr="008C5AC8" w:rsidRDefault="002A0393" w:rsidP="001F0679">
      <w:pPr>
        <w:ind w:left="-567"/>
        <w:rPr>
          <w:rFonts w:ascii="Arial" w:hAnsi="Arial" w:cs="Arial"/>
          <w:u w:val="single"/>
        </w:rPr>
      </w:pPr>
    </w:p>
    <w:p w14:paraId="3619EF5A" w14:textId="117F1A84" w:rsidR="002A0393" w:rsidRPr="008C5AC8" w:rsidRDefault="002A0393" w:rsidP="001F0679">
      <w:pPr>
        <w:ind w:left="-567"/>
        <w:rPr>
          <w:rFonts w:ascii="Arial" w:hAnsi="Arial" w:cs="Arial"/>
        </w:rPr>
      </w:pPr>
      <w:r w:rsidRPr="008C5AC8">
        <w:rPr>
          <w:rFonts w:ascii="Arial" w:hAnsi="Arial" w:cs="Arial"/>
        </w:rPr>
        <w:t>The assessment will be based on the housing association meeting the performance standards. In cases where the performance standard is not met</w:t>
      </w:r>
      <w:r w:rsidR="008C5AC8">
        <w:rPr>
          <w:rFonts w:ascii="Arial" w:hAnsi="Arial" w:cs="Arial"/>
        </w:rPr>
        <w:t>,</w:t>
      </w:r>
      <w:r w:rsidRPr="008C5AC8">
        <w:rPr>
          <w:rFonts w:ascii="Arial" w:hAnsi="Arial" w:cs="Arial"/>
        </w:rPr>
        <w:t xml:space="preserve"> there must be credible, achievable and time bound plans in place to manage and improve their performance and comply. </w:t>
      </w:r>
    </w:p>
    <w:p w14:paraId="094F70EA" w14:textId="77777777" w:rsidR="002A0393" w:rsidRPr="008C5AC8" w:rsidRDefault="002A0393" w:rsidP="001F0679">
      <w:pPr>
        <w:ind w:left="-567"/>
        <w:rPr>
          <w:rFonts w:ascii="Arial" w:hAnsi="Arial" w:cs="Arial"/>
        </w:rPr>
      </w:pPr>
    </w:p>
    <w:p w14:paraId="47AB7755" w14:textId="49D53691" w:rsidR="002A0393" w:rsidRPr="008C5AC8" w:rsidRDefault="002A0393" w:rsidP="001F0679">
      <w:pPr>
        <w:ind w:left="-567"/>
        <w:rPr>
          <w:rFonts w:ascii="Arial" w:hAnsi="Arial" w:cs="Arial"/>
        </w:rPr>
      </w:pPr>
      <w:r w:rsidRPr="008C5AC8">
        <w:rPr>
          <w:rFonts w:ascii="Arial" w:hAnsi="Arial" w:cs="Arial"/>
        </w:rPr>
        <w:t xml:space="preserve">The regulatory will publish a co-regulatory status level for governance and financial viability as part of the regulatory judgement. </w:t>
      </w:r>
    </w:p>
    <w:p w14:paraId="3C7D3421" w14:textId="77777777" w:rsidR="002A0393" w:rsidRPr="008C5AC8" w:rsidRDefault="002A0393" w:rsidP="001F0679">
      <w:pPr>
        <w:ind w:left="-567"/>
        <w:rPr>
          <w:rFonts w:ascii="Arial" w:hAnsi="Arial" w:cs="Arial"/>
        </w:rPr>
      </w:pPr>
    </w:p>
    <w:p w14:paraId="2A45BA65" w14:textId="414E1801" w:rsidR="002A0393" w:rsidRPr="008C5AC8" w:rsidRDefault="002A0393" w:rsidP="001F0679">
      <w:pPr>
        <w:ind w:left="-567"/>
        <w:rPr>
          <w:rFonts w:ascii="Arial" w:hAnsi="Arial" w:cs="Arial"/>
        </w:rPr>
      </w:pPr>
      <w:r w:rsidRPr="008C5AC8">
        <w:rPr>
          <w:rFonts w:ascii="Arial" w:hAnsi="Arial" w:cs="Arial"/>
        </w:rPr>
        <w:t xml:space="preserve">The key evidence to inform the regulator will be the compliance statement and the self-evaluation triangulated against information from a variety of sources. </w:t>
      </w:r>
    </w:p>
    <w:p w14:paraId="009038B4" w14:textId="77777777" w:rsidR="002A0393" w:rsidRPr="008C5AC8" w:rsidRDefault="002A0393" w:rsidP="001F0679">
      <w:pPr>
        <w:ind w:left="-567"/>
        <w:rPr>
          <w:rFonts w:ascii="Arial" w:hAnsi="Arial" w:cs="Arial"/>
        </w:rPr>
      </w:pPr>
    </w:p>
    <w:p w14:paraId="7799DF0A" w14:textId="5428F718" w:rsidR="00842801" w:rsidRPr="008C5AC8" w:rsidRDefault="008C5AC8" w:rsidP="001F0679">
      <w:pPr>
        <w:ind w:left="-567"/>
        <w:rPr>
          <w:rFonts w:ascii="Arial" w:hAnsi="Arial" w:cs="Arial"/>
          <w:b/>
        </w:rPr>
      </w:pPr>
      <w:r>
        <w:rPr>
          <w:rFonts w:ascii="Arial" w:hAnsi="Arial" w:cs="Arial"/>
          <w:u w:val="single"/>
        </w:rPr>
        <w:br/>
      </w:r>
      <w:r w:rsidR="00842801" w:rsidRPr="008C5AC8">
        <w:rPr>
          <w:rFonts w:ascii="Arial" w:hAnsi="Arial" w:cs="Arial"/>
          <w:b/>
        </w:rPr>
        <w:t xml:space="preserve">When will the new framework be implemented? </w:t>
      </w:r>
    </w:p>
    <w:p w14:paraId="1E78A093" w14:textId="77777777" w:rsidR="00FA3080" w:rsidRPr="008C5AC8" w:rsidRDefault="00FA3080" w:rsidP="001F0679">
      <w:pPr>
        <w:ind w:left="-567"/>
        <w:rPr>
          <w:rFonts w:ascii="Arial" w:hAnsi="Arial" w:cs="Arial"/>
        </w:rPr>
      </w:pPr>
    </w:p>
    <w:p w14:paraId="4F0C8898" w14:textId="65C75911" w:rsidR="00FA3080" w:rsidRPr="008C5AC8" w:rsidRDefault="00FA3080" w:rsidP="001F0679">
      <w:pPr>
        <w:ind w:left="-567"/>
        <w:rPr>
          <w:rFonts w:ascii="Arial" w:hAnsi="Arial" w:cs="Arial"/>
        </w:rPr>
      </w:pPr>
      <w:r w:rsidRPr="008C5AC8">
        <w:rPr>
          <w:rFonts w:ascii="Arial" w:hAnsi="Arial" w:cs="Arial"/>
        </w:rPr>
        <w:t xml:space="preserve">The full framework is now in place and is being used by the regulator. In effect many housing associations have been using this new approach since January 2017 and the introduction of the new approach to regulatory judgements. </w:t>
      </w:r>
    </w:p>
    <w:p w14:paraId="5C6B32BD" w14:textId="77777777" w:rsidR="00FA3080" w:rsidRPr="008C5AC8" w:rsidRDefault="00FA3080" w:rsidP="001F0679">
      <w:pPr>
        <w:ind w:left="-567"/>
        <w:rPr>
          <w:rFonts w:ascii="Arial" w:hAnsi="Arial" w:cs="Arial"/>
          <w:u w:val="single"/>
        </w:rPr>
      </w:pPr>
    </w:p>
    <w:p w14:paraId="4CF9678C" w14:textId="7DCE8A22" w:rsidR="00842801" w:rsidRPr="008C5AC8" w:rsidRDefault="008C5AC8" w:rsidP="001F0679">
      <w:pPr>
        <w:ind w:left="-567"/>
        <w:rPr>
          <w:rFonts w:ascii="Arial" w:hAnsi="Arial" w:cs="Arial"/>
          <w:b/>
        </w:rPr>
      </w:pPr>
      <w:r>
        <w:rPr>
          <w:rFonts w:ascii="Arial" w:hAnsi="Arial" w:cs="Arial"/>
          <w:u w:val="single"/>
        </w:rPr>
        <w:br/>
      </w:r>
      <w:r w:rsidR="00842801" w:rsidRPr="008C5AC8">
        <w:rPr>
          <w:rFonts w:ascii="Arial" w:hAnsi="Arial" w:cs="Arial"/>
          <w:b/>
        </w:rPr>
        <w:t xml:space="preserve">Will there be a review? </w:t>
      </w:r>
      <w:r>
        <w:rPr>
          <w:rFonts w:ascii="Arial" w:hAnsi="Arial" w:cs="Arial"/>
          <w:b/>
        </w:rPr>
        <w:br/>
      </w:r>
    </w:p>
    <w:p w14:paraId="2BB0D577" w14:textId="5911EE2D" w:rsidR="00FA3080" w:rsidRPr="008C5AC8" w:rsidRDefault="00FA3080" w:rsidP="001F0679">
      <w:pPr>
        <w:ind w:left="-567"/>
        <w:rPr>
          <w:rFonts w:ascii="Arial" w:hAnsi="Arial" w:cs="Arial"/>
        </w:rPr>
      </w:pPr>
      <w:r w:rsidRPr="008C5AC8">
        <w:rPr>
          <w:rFonts w:ascii="Arial" w:hAnsi="Arial" w:cs="Arial"/>
        </w:rPr>
        <w:t>The framework is being piloted for one year. There will be a review and CHC encourage</w:t>
      </w:r>
      <w:r w:rsidR="008C5AC8">
        <w:rPr>
          <w:rFonts w:ascii="Arial" w:hAnsi="Arial" w:cs="Arial"/>
        </w:rPr>
        <w:t>s</w:t>
      </w:r>
      <w:r w:rsidRPr="008C5AC8">
        <w:rPr>
          <w:rFonts w:ascii="Arial" w:hAnsi="Arial" w:cs="Arial"/>
        </w:rPr>
        <w:t xml:space="preserve"> members to feed</w:t>
      </w:r>
      <w:r w:rsidR="008C5AC8">
        <w:rPr>
          <w:rFonts w:ascii="Arial" w:hAnsi="Arial" w:cs="Arial"/>
        </w:rPr>
        <w:t xml:space="preserve"> </w:t>
      </w:r>
      <w:r w:rsidRPr="008C5AC8">
        <w:rPr>
          <w:rFonts w:ascii="Arial" w:hAnsi="Arial" w:cs="Arial"/>
        </w:rPr>
        <w:t xml:space="preserve">back their views on the framework during the course of this first year of implementation. </w:t>
      </w:r>
    </w:p>
    <w:p w14:paraId="68C0456D" w14:textId="77777777" w:rsidR="00842801" w:rsidRPr="008C5AC8" w:rsidRDefault="00842801" w:rsidP="001F0679">
      <w:pPr>
        <w:ind w:left="-567"/>
        <w:rPr>
          <w:rFonts w:ascii="Arial" w:hAnsi="Arial" w:cs="Arial"/>
        </w:rPr>
      </w:pPr>
    </w:p>
    <w:p w14:paraId="1FC33297" w14:textId="77777777" w:rsidR="00FA3080" w:rsidRPr="008C5AC8" w:rsidRDefault="00FA3080" w:rsidP="001F0679">
      <w:pPr>
        <w:ind w:left="-567"/>
        <w:rPr>
          <w:rFonts w:ascii="Arial" w:hAnsi="Arial" w:cs="Arial"/>
        </w:rPr>
      </w:pPr>
    </w:p>
    <w:p w14:paraId="1217DA19" w14:textId="77777777" w:rsidR="008C5AC8" w:rsidRDefault="00FA3080" w:rsidP="001F0679">
      <w:pPr>
        <w:ind w:left="-567"/>
        <w:rPr>
          <w:rStyle w:val="Hyperlink"/>
          <w:rFonts w:ascii="Arial" w:hAnsi="Arial" w:cs="Arial"/>
        </w:rPr>
      </w:pPr>
      <w:r w:rsidRPr="008C5AC8">
        <w:rPr>
          <w:rFonts w:ascii="Arial" w:hAnsi="Arial" w:cs="Arial"/>
        </w:rPr>
        <w:t>Please s</w:t>
      </w:r>
      <w:r w:rsidR="00842801" w:rsidRPr="008C5AC8">
        <w:rPr>
          <w:rFonts w:ascii="Arial" w:hAnsi="Arial" w:cs="Arial"/>
        </w:rPr>
        <w:t xml:space="preserve">end views and comments on the new framework to </w:t>
      </w:r>
      <w:hyperlink r:id="rId8" w:history="1">
        <w:r w:rsidR="00842801" w:rsidRPr="008C5AC8">
          <w:rPr>
            <w:rStyle w:val="Hyperlink"/>
            <w:rFonts w:ascii="Arial" w:hAnsi="Arial" w:cs="Arial"/>
          </w:rPr>
          <w:t>Clarissa-Corbisiero-Peters@chcymru.org.uk</w:t>
        </w:r>
      </w:hyperlink>
    </w:p>
    <w:p w14:paraId="5A7CB38C" w14:textId="77777777" w:rsidR="008C5AC8" w:rsidRDefault="008C5AC8" w:rsidP="001F0679">
      <w:pPr>
        <w:ind w:left="-567"/>
        <w:rPr>
          <w:rStyle w:val="Hyperlink"/>
          <w:rFonts w:ascii="Arial" w:hAnsi="Arial" w:cs="Arial"/>
        </w:rPr>
      </w:pPr>
    </w:p>
    <w:p w14:paraId="26F8DCAE" w14:textId="77777777" w:rsidR="008C5AC8" w:rsidRDefault="008C5AC8" w:rsidP="001F0679">
      <w:pPr>
        <w:ind w:left="-567"/>
        <w:rPr>
          <w:rStyle w:val="Hyperlink"/>
          <w:rFonts w:ascii="Arial" w:hAnsi="Arial" w:cs="Arial"/>
        </w:rPr>
      </w:pPr>
      <w:bookmarkStart w:id="0" w:name="_GoBack"/>
      <w:bookmarkEnd w:id="0"/>
    </w:p>
    <w:p w14:paraId="366E2231" w14:textId="77777777" w:rsidR="008C5AC8" w:rsidRDefault="008C5AC8" w:rsidP="001F0679">
      <w:pPr>
        <w:ind w:left="-567"/>
        <w:rPr>
          <w:rStyle w:val="Hyperlink"/>
          <w:rFonts w:ascii="Arial" w:hAnsi="Arial" w:cs="Arial"/>
        </w:rPr>
      </w:pPr>
    </w:p>
    <w:p w14:paraId="23AA99A9" w14:textId="0E8CBBB7" w:rsidR="00842801" w:rsidRPr="008C5AC8" w:rsidRDefault="008C5AC8" w:rsidP="001F0679">
      <w:pPr>
        <w:ind w:left="-567"/>
        <w:rPr>
          <w:rFonts w:ascii="Arial" w:hAnsi="Arial" w:cs="Arial"/>
          <w:b/>
        </w:rPr>
      </w:pPr>
      <w:r w:rsidRPr="008C5AC8">
        <w:rPr>
          <w:rStyle w:val="Hyperlink"/>
          <w:rFonts w:ascii="Arial" w:hAnsi="Arial" w:cs="Arial"/>
          <w:b/>
          <w:color w:val="auto"/>
          <w:u w:val="none"/>
        </w:rPr>
        <w:t xml:space="preserve">Community Housing </w:t>
      </w:r>
      <w:proofErr w:type="spellStart"/>
      <w:r w:rsidRPr="008C5AC8">
        <w:rPr>
          <w:rStyle w:val="Hyperlink"/>
          <w:rFonts w:ascii="Arial" w:hAnsi="Arial" w:cs="Arial"/>
          <w:b/>
          <w:color w:val="auto"/>
          <w:u w:val="none"/>
        </w:rPr>
        <w:t>Cymru</w:t>
      </w:r>
      <w:proofErr w:type="spellEnd"/>
      <w:r w:rsidRPr="008C5AC8">
        <w:rPr>
          <w:rStyle w:val="Hyperlink"/>
          <w:rFonts w:ascii="Arial" w:hAnsi="Arial" w:cs="Arial"/>
          <w:b/>
          <w:color w:val="auto"/>
          <w:u w:val="none"/>
        </w:rPr>
        <w:br/>
        <w:t xml:space="preserve">June 2017 </w:t>
      </w:r>
      <w:r w:rsidR="00842801" w:rsidRPr="008C5AC8">
        <w:rPr>
          <w:rFonts w:ascii="Arial" w:hAnsi="Arial" w:cs="Arial"/>
          <w:b/>
        </w:rPr>
        <w:t xml:space="preserve"> </w:t>
      </w:r>
    </w:p>
    <w:p w14:paraId="33E98D88" w14:textId="77777777" w:rsidR="00842801" w:rsidRPr="008C5AC8" w:rsidRDefault="00842801" w:rsidP="001F0679">
      <w:pPr>
        <w:ind w:left="-567"/>
        <w:rPr>
          <w:rFonts w:ascii="Arial" w:hAnsi="Arial" w:cs="Arial"/>
        </w:rPr>
      </w:pPr>
    </w:p>
    <w:p w14:paraId="21E76290" w14:textId="77777777" w:rsidR="00842801" w:rsidRPr="008C5AC8" w:rsidRDefault="00842801" w:rsidP="001F0679">
      <w:pPr>
        <w:ind w:left="-567"/>
        <w:rPr>
          <w:rFonts w:ascii="Arial" w:hAnsi="Arial" w:cs="Arial"/>
        </w:rPr>
      </w:pPr>
    </w:p>
    <w:p w14:paraId="4D71B47E" w14:textId="2E290B0E" w:rsidR="001F0679" w:rsidRPr="008C5AC8" w:rsidRDefault="003A0616" w:rsidP="001F0679">
      <w:pPr>
        <w:ind w:left="-567"/>
        <w:rPr>
          <w:rFonts w:ascii="Arial" w:hAnsi="Arial" w:cs="Arial"/>
        </w:rPr>
      </w:pPr>
      <w:r w:rsidRPr="008C5AC8">
        <w:rPr>
          <w:rFonts w:ascii="Arial" w:hAnsi="Arial" w:cs="Arial"/>
        </w:rPr>
        <w:t xml:space="preserve"> </w:t>
      </w:r>
    </w:p>
    <w:p w14:paraId="422A9FF4" w14:textId="77777777" w:rsidR="001F0679" w:rsidRPr="008C5AC8" w:rsidRDefault="001F0679" w:rsidP="001F0679">
      <w:pPr>
        <w:ind w:left="-567"/>
        <w:rPr>
          <w:rFonts w:ascii="Arial" w:hAnsi="Arial" w:cs="Arial"/>
        </w:rPr>
      </w:pPr>
    </w:p>
    <w:p w14:paraId="78473D5D" w14:textId="77777777" w:rsidR="001F0679" w:rsidRPr="008C5AC8" w:rsidRDefault="001F0679" w:rsidP="001F0679">
      <w:pPr>
        <w:ind w:left="-567"/>
        <w:rPr>
          <w:rFonts w:ascii="Arial" w:hAnsi="Arial" w:cs="Arial"/>
        </w:rPr>
      </w:pPr>
    </w:p>
    <w:p w14:paraId="6009FDF0" w14:textId="77777777" w:rsidR="001F0679" w:rsidRPr="008C5AC8" w:rsidRDefault="001F0679" w:rsidP="001F0679">
      <w:pPr>
        <w:ind w:left="-567"/>
        <w:rPr>
          <w:rFonts w:ascii="Arial" w:hAnsi="Arial" w:cs="Arial"/>
        </w:rPr>
      </w:pPr>
    </w:p>
    <w:p w14:paraId="209952B8" w14:textId="77777777" w:rsidR="001F0679" w:rsidRPr="008C5AC8" w:rsidRDefault="001F0679" w:rsidP="001F0679">
      <w:pPr>
        <w:ind w:left="-567"/>
        <w:rPr>
          <w:rFonts w:ascii="Arial" w:hAnsi="Arial" w:cs="Arial"/>
        </w:rPr>
      </w:pPr>
    </w:p>
    <w:p w14:paraId="159AE739" w14:textId="77777777" w:rsidR="001F0679" w:rsidRPr="008C5AC8" w:rsidRDefault="001F0679" w:rsidP="001F0679">
      <w:pPr>
        <w:rPr>
          <w:rFonts w:ascii="Arial" w:hAnsi="Arial" w:cs="Arial"/>
        </w:rPr>
      </w:pPr>
    </w:p>
    <w:p w14:paraId="72A5731D" w14:textId="77777777" w:rsidR="001F0679" w:rsidRPr="008C5AC8" w:rsidRDefault="001F0679" w:rsidP="001F0679">
      <w:pPr>
        <w:rPr>
          <w:rFonts w:ascii="Arial" w:hAnsi="Arial" w:cs="Arial"/>
        </w:rPr>
      </w:pPr>
    </w:p>
    <w:p w14:paraId="503E2608" w14:textId="77777777" w:rsidR="001F0679" w:rsidRPr="008C5AC8" w:rsidRDefault="001F0679" w:rsidP="001F0679">
      <w:pPr>
        <w:rPr>
          <w:rFonts w:ascii="Arial" w:hAnsi="Arial" w:cs="Arial"/>
        </w:rPr>
      </w:pPr>
    </w:p>
    <w:p w14:paraId="6D6243BA" w14:textId="352F40BB" w:rsidR="00920EAB" w:rsidRPr="008C5AC8" w:rsidRDefault="00920EAB" w:rsidP="00920EAB">
      <w:pPr>
        <w:ind w:left="-567" w:right="-489"/>
        <w:rPr>
          <w:rFonts w:ascii="Arial" w:hAnsi="Arial" w:cs="Arial"/>
        </w:rPr>
      </w:pPr>
    </w:p>
    <w:p w14:paraId="1ECF0E0A" w14:textId="77777777" w:rsidR="002B5A80" w:rsidRPr="008C5AC8" w:rsidRDefault="002B5A80" w:rsidP="00AA61CB">
      <w:pPr>
        <w:ind w:left="-567" w:right="-489"/>
        <w:rPr>
          <w:rFonts w:ascii="Arial" w:hAnsi="Arial" w:cs="Arial"/>
        </w:rPr>
      </w:pPr>
    </w:p>
    <w:p w14:paraId="085A6A88" w14:textId="77777777" w:rsidR="002B5A80" w:rsidRPr="008C5AC8" w:rsidRDefault="002B5A80" w:rsidP="00AA61CB">
      <w:pPr>
        <w:ind w:left="-567" w:right="-489"/>
        <w:rPr>
          <w:rFonts w:ascii="Arial" w:hAnsi="Arial" w:cs="Arial"/>
        </w:rPr>
      </w:pPr>
    </w:p>
    <w:sectPr w:rsidR="002B5A80" w:rsidRPr="008C5AC8" w:rsidSect="007D74A1">
      <w:headerReference w:type="even" r:id="rId9"/>
      <w:headerReference w:type="default" r:id="rId10"/>
      <w:footerReference w:type="even" r:id="rId11"/>
      <w:footerReference w:type="default" r:id="rId12"/>
      <w:headerReference w:type="first" r:id="rId13"/>
      <w:footerReference w:type="first" r:id="rId14"/>
      <w:pgSz w:w="11900" w:h="16840"/>
      <w:pgMar w:top="2835" w:right="1800" w:bottom="1843" w:left="1800" w:header="700" w:footer="4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71468" w14:textId="77777777" w:rsidR="002A0393" w:rsidRDefault="002A0393" w:rsidP="00AA61CB">
      <w:r>
        <w:separator/>
      </w:r>
    </w:p>
  </w:endnote>
  <w:endnote w:type="continuationSeparator" w:id="0">
    <w:p w14:paraId="0BBEE362" w14:textId="77777777" w:rsidR="002A0393" w:rsidRDefault="002A0393" w:rsidP="00AA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Times New Roman"/>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Arabic">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F6F3" w14:textId="77777777" w:rsidR="002A0393" w:rsidRDefault="002A03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4312" w14:textId="1F295D2D" w:rsidR="002A0393" w:rsidRDefault="002A0393" w:rsidP="007D74A1">
    <w:pPr>
      <w:pStyle w:val="Footer"/>
      <w:ind w:hanging="851"/>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F5DBA" w14:textId="77777777" w:rsidR="002A0393" w:rsidRDefault="002A03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64394" w14:textId="77777777" w:rsidR="002A0393" w:rsidRDefault="002A0393" w:rsidP="00AA61CB">
      <w:r>
        <w:separator/>
      </w:r>
    </w:p>
  </w:footnote>
  <w:footnote w:type="continuationSeparator" w:id="0">
    <w:p w14:paraId="55D2C433" w14:textId="77777777" w:rsidR="002A0393" w:rsidRDefault="002A0393" w:rsidP="00AA61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C6949" w14:textId="77777777" w:rsidR="002A0393" w:rsidRDefault="002A03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E3E7" w14:textId="77777777" w:rsidR="002A0393" w:rsidRDefault="002A0393" w:rsidP="00AA61CB">
    <w:pPr>
      <w:pStyle w:val="Header"/>
      <w:ind w:right="-64"/>
    </w:pPr>
    <w:r>
      <w:rPr>
        <w:noProof/>
        <w:lang w:eastAsia="en-GB"/>
      </w:rPr>
      <w:drawing>
        <wp:anchor distT="0" distB="0" distL="114300" distR="114300" simplePos="0" relativeHeight="251658240" behindDoc="0" locked="0" layoutInCell="1" allowOverlap="1" wp14:anchorId="5EE53A7B" wp14:editId="1B01628B">
          <wp:simplePos x="0" y="0"/>
          <wp:positionH relativeFrom="column">
            <wp:posOffset>4457700</wp:posOffset>
          </wp:positionH>
          <wp:positionV relativeFrom="paragraph">
            <wp:posOffset>-73660</wp:posOffset>
          </wp:positionV>
          <wp:extent cx="1346835" cy="935990"/>
          <wp:effectExtent l="0" t="0" r="0" b="3810"/>
          <wp:wrapTight wrapText="bothSides">
            <wp:wrapPolygon edited="0">
              <wp:start x="0" y="0"/>
              <wp:lineTo x="0" y="21102"/>
              <wp:lineTo x="21182" y="21102"/>
              <wp:lineTo x="211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lement.png"/>
                  <pic:cNvPicPr/>
                </pic:nvPicPr>
                <pic:blipFill>
                  <a:blip r:embed="rId1">
                    <a:extLst>
                      <a:ext uri="{28A0092B-C50C-407E-A947-70E740481C1C}">
                        <a14:useLocalDpi xmlns:a14="http://schemas.microsoft.com/office/drawing/2010/main" val="0"/>
                      </a:ext>
                    </a:extLst>
                  </a:blip>
                  <a:stretch>
                    <a:fillRect/>
                  </a:stretch>
                </pic:blipFill>
                <pic:spPr>
                  <a:xfrm>
                    <a:off x="0" y="0"/>
                    <a:ext cx="1346835" cy="9359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F2E35FB" wp14:editId="4AD99C99">
          <wp:simplePos x="0" y="0"/>
          <wp:positionH relativeFrom="column">
            <wp:posOffset>-546100</wp:posOffset>
          </wp:positionH>
          <wp:positionV relativeFrom="paragraph">
            <wp:posOffset>19685</wp:posOffset>
          </wp:positionV>
          <wp:extent cx="1619885" cy="935355"/>
          <wp:effectExtent l="0" t="0" r="5715" b="4445"/>
          <wp:wrapTight wrapText="bothSides">
            <wp:wrapPolygon edited="0">
              <wp:start x="0" y="0"/>
              <wp:lineTo x="0" y="21116"/>
              <wp:lineTo x="21338" y="21116"/>
              <wp:lineTo x="213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ENG.png"/>
                  <pic:cNvPicPr/>
                </pic:nvPicPr>
                <pic:blipFill>
                  <a:blip r:embed="rId2">
                    <a:extLst>
                      <a:ext uri="{28A0092B-C50C-407E-A947-70E740481C1C}">
                        <a14:useLocalDpi xmlns:a14="http://schemas.microsoft.com/office/drawing/2010/main" val="0"/>
                      </a:ext>
                    </a:extLst>
                  </a:blip>
                  <a:stretch>
                    <a:fillRect/>
                  </a:stretch>
                </pic:blipFill>
                <pic:spPr>
                  <a:xfrm>
                    <a:off x="0" y="0"/>
                    <a:ext cx="1619885" cy="935355"/>
                  </a:xfrm>
                  <a:prstGeom prst="rect">
                    <a:avLst/>
                  </a:prstGeom>
                </pic:spPr>
              </pic:pic>
            </a:graphicData>
          </a:graphic>
          <wp14:sizeRelH relativeFrom="page">
            <wp14:pctWidth>0</wp14:pctWidth>
          </wp14:sizeRelH>
          <wp14:sizeRelV relativeFrom="page">
            <wp14:pctHeight>0</wp14:pctHeight>
          </wp14:sizeRelV>
        </wp:anchor>
      </w:drawing>
    </w:r>
  </w:p>
  <w:p w14:paraId="7D7CD055" w14:textId="77777777" w:rsidR="002A0393" w:rsidRDefault="002A0393" w:rsidP="00AA61CB">
    <w:pPr>
      <w:pStyle w:val="Header"/>
      <w:ind w:right="-64"/>
    </w:pPr>
  </w:p>
  <w:p w14:paraId="38514EA8" w14:textId="77777777" w:rsidR="002A0393" w:rsidRDefault="002A0393" w:rsidP="00AA61CB">
    <w:pPr>
      <w:pStyle w:val="Header"/>
      <w:ind w:left="-85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DCB2" w14:textId="77777777" w:rsidR="002A0393" w:rsidRDefault="002A03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969"/>
    <w:multiLevelType w:val="hybridMultilevel"/>
    <w:tmpl w:val="1972AE10"/>
    <w:lvl w:ilvl="0" w:tplc="2968CB14">
      <w:numFmt w:val="bullet"/>
      <w:lvlText w:val="•"/>
      <w:lvlJc w:val="left"/>
      <w:pPr>
        <w:ind w:left="-564" w:hanging="570"/>
      </w:pPr>
      <w:rPr>
        <w:rFonts w:ascii="Myriad Pro" w:eastAsiaTheme="minorEastAsia" w:hAnsi="Myriad Pro" w:cs="Myriad Arabic"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7FE5510"/>
    <w:multiLevelType w:val="hybridMultilevel"/>
    <w:tmpl w:val="25DA5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DF5C7A"/>
    <w:multiLevelType w:val="hybridMultilevel"/>
    <w:tmpl w:val="55366BDC"/>
    <w:lvl w:ilvl="0" w:tplc="2968CB14">
      <w:numFmt w:val="bullet"/>
      <w:lvlText w:val="•"/>
      <w:lvlJc w:val="left"/>
      <w:pPr>
        <w:ind w:left="3" w:hanging="570"/>
      </w:pPr>
      <w:rPr>
        <w:rFonts w:ascii="Myriad Pro" w:eastAsiaTheme="minorEastAsia" w:hAnsi="Myriad Pro" w:cs="Myriad Arabic"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 w15:restartNumberingAfterBreak="0">
    <w:nsid w:val="46A45782"/>
    <w:multiLevelType w:val="hybridMultilevel"/>
    <w:tmpl w:val="CC0459D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5DDD43F9"/>
    <w:multiLevelType w:val="hybridMultilevel"/>
    <w:tmpl w:val="B60EB8C6"/>
    <w:lvl w:ilvl="0" w:tplc="2968CB14">
      <w:numFmt w:val="bullet"/>
      <w:lvlText w:val="•"/>
      <w:lvlJc w:val="left"/>
      <w:pPr>
        <w:ind w:left="-564" w:hanging="570"/>
      </w:pPr>
      <w:rPr>
        <w:rFonts w:ascii="Myriad Pro" w:eastAsiaTheme="minorEastAsia" w:hAnsi="Myriad Pro" w:cs="Myriad Arabic"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5F370007"/>
    <w:multiLevelType w:val="hybridMultilevel"/>
    <w:tmpl w:val="737CB87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621F18DA"/>
    <w:multiLevelType w:val="hybridMultilevel"/>
    <w:tmpl w:val="0B9A8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003224"/>
    <w:multiLevelType w:val="hybridMultilevel"/>
    <w:tmpl w:val="93F6DC2E"/>
    <w:lvl w:ilvl="0" w:tplc="2968CB14">
      <w:numFmt w:val="bullet"/>
      <w:lvlText w:val="•"/>
      <w:lvlJc w:val="left"/>
      <w:pPr>
        <w:ind w:left="3" w:hanging="570"/>
      </w:pPr>
      <w:rPr>
        <w:rFonts w:ascii="Myriad Pro" w:eastAsiaTheme="minorEastAsia" w:hAnsi="Myriad Pro" w:cs="Myria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CB"/>
    <w:rsid w:val="0000724A"/>
    <w:rsid w:val="000B02E8"/>
    <w:rsid w:val="00103B6A"/>
    <w:rsid w:val="001F0679"/>
    <w:rsid w:val="0027799F"/>
    <w:rsid w:val="002A0393"/>
    <w:rsid w:val="002A0465"/>
    <w:rsid w:val="002B5A80"/>
    <w:rsid w:val="0035507B"/>
    <w:rsid w:val="003567B1"/>
    <w:rsid w:val="003A0616"/>
    <w:rsid w:val="0071547E"/>
    <w:rsid w:val="007D74A1"/>
    <w:rsid w:val="00842801"/>
    <w:rsid w:val="008C5AC8"/>
    <w:rsid w:val="009114C9"/>
    <w:rsid w:val="009149F3"/>
    <w:rsid w:val="00920EAB"/>
    <w:rsid w:val="00960813"/>
    <w:rsid w:val="00970F60"/>
    <w:rsid w:val="009F21BE"/>
    <w:rsid w:val="00AA2F12"/>
    <w:rsid w:val="00AA61CB"/>
    <w:rsid w:val="00CE3A22"/>
    <w:rsid w:val="00CE78FE"/>
    <w:rsid w:val="00D61749"/>
    <w:rsid w:val="00EF3ED2"/>
    <w:rsid w:val="00FA3080"/>
    <w:rsid w:val="00FB29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0E284D"/>
  <w14:defaultImageDpi w14:val="300"/>
  <w15:docId w15:val="{87FAB9C3-B34A-40F0-9518-FDB9DC40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1CB"/>
    <w:pPr>
      <w:tabs>
        <w:tab w:val="center" w:pos="4320"/>
        <w:tab w:val="right" w:pos="8640"/>
      </w:tabs>
    </w:pPr>
  </w:style>
  <w:style w:type="character" w:customStyle="1" w:styleId="HeaderChar">
    <w:name w:val="Header Char"/>
    <w:basedOn w:val="DefaultParagraphFont"/>
    <w:link w:val="Header"/>
    <w:uiPriority w:val="99"/>
    <w:rsid w:val="00AA61CB"/>
  </w:style>
  <w:style w:type="paragraph" w:styleId="Footer">
    <w:name w:val="footer"/>
    <w:basedOn w:val="Normal"/>
    <w:link w:val="FooterChar"/>
    <w:uiPriority w:val="99"/>
    <w:unhideWhenUsed/>
    <w:rsid w:val="00AA61CB"/>
    <w:pPr>
      <w:tabs>
        <w:tab w:val="center" w:pos="4320"/>
        <w:tab w:val="right" w:pos="8640"/>
      </w:tabs>
    </w:pPr>
  </w:style>
  <w:style w:type="character" w:customStyle="1" w:styleId="FooterChar">
    <w:name w:val="Footer Char"/>
    <w:basedOn w:val="DefaultParagraphFont"/>
    <w:link w:val="Footer"/>
    <w:uiPriority w:val="99"/>
    <w:rsid w:val="00AA61CB"/>
  </w:style>
  <w:style w:type="paragraph" w:styleId="BalloonText">
    <w:name w:val="Balloon Text"/>
    <w:basedOn w:val="Normal"/>
    <w:link w:val="BalloonTextChar"/>
    <w:uiPriority w:val="99"/>
    <w:semiHidden/>
    <w:unhideWhenUsed/>
    <w:rsid w:val="00AA61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1CB"/>
    <w:rPr>
      <w:rFonts w:ascii="Lucida Grande" w:hAnsi="Lucida Grande" w:cs="Lucida Grande"/>
      <w:sz w:val="18"/>
      <w:szCs w:val="18"/>
    </w:rPr>
  </w:style>
  <w:style w:type="paragraph" w:styleId="ListParagraph">
    <w:name w:val="List Paragraph"/>
    <w:basedOn w:val="Normal"/>
    <w:uiPriority w:val="34"/>
    <w:qFormat/>
    <w:rsid w:val="0035507B"/>
    <w:pPr>
      <w:ind w:left="720"/>
      <w:contextualSpacing/>
    </w:pPr>
  </w:style>
  <w:style w:type="character" w:styleId="CommentReference">
    <w:name w:val="annotation reference"/>
    <w:basedOn w:val="DefaultParagraphFont"/>
    <w:uiPriority w:val="99"/>
    <w:semiHidden/>
    <w:unhideWhenUsed/>
    <w:rsid w:val="001F0679"/>
    <w:rPr>
      <w:sz w:val="16"/>
      <w:szCs w:val="16"/>
    </w:rPr>
  </w:style>
  <w:style w:type="paragraph" w:styleId="CommentText">
    <w:name w:val="annotation text"/>
    <w:basedOn w:val="Normal"/>
    <w:link w:val="CommentTextChar"/>
    <w:uiPriority w:val="99"/>
    <w:semiHidden/>
    <w:unhideWhenUsed/>
    <w:rsid w:val="001F0679"/>
    <w:rPr>
      <w:sz w:val="20"/>
      <w:szCs w:val="20"/>
    </w:rPr>
  </w:style>
  <w:style w:type="character" w:customStyle="1" w:styleId="CommentTextChar">
    <w:name w:val="Comment Text Char"/>
    <w:basedOn w:val="DefaultParagraphFont"/>
    <w:link w:val="CommentText"/>
    <w:uiPriority w:val="99"/>
    <w:semiHidden/>
    <w:rsid w:val="001F0679"/>
    <w:rPr>
      <w:sz w:val="20"/>
      <w:szCs w:val="20"/>
    </w:rPr>
  </w:style>
  <w:style w:type="paragraph" w:styleId="CommentSubject">
    <w:name w:val="annotation subject"/>
    <w:basedOn w:val="CommentText"/>
    <w:next w:val="CommentText"/>
    <w:link w:val="CommentSubjectChar"/>
    <w:uiPriority w:val="99"/>
    <w:semiHidden/>
    <w:unhideWhenUsed/>
    <w:rsid w:val="001F0679"/>
    <w:rPr>
      <w:b/>
      <w:bCs/>
    </w:rPr>
  </w:style>
  <w:style w:type="character" w:customStyle="1" w:styleId="CommentSubjectChar">
    <w:name w:val="Comment Subject Char"/>
    <w:basedOn w:val="CommentTextChar"/>
    <w:link w:val="CommentSubject"/>
    <w:uiPriority w:val="99"/>
    <w:semiHidden/>
    <w:rsid w:val="001F0679"/>
    <w:rPr>
      <w:b/>
      <w:bCs/>
      <w:sz w:val="20"/>
      <w:szCs w:val="20"/>
    </w:rPr>
  </w:style>
  <w:style w:type="character" w:styleId="Hyperlink">
    <w:name w:val="Hyperlink"/>
    <w:basedOn w:val="DefaultParagraphFont"/>
    <w:uiPriority w:val="99"/>
    <w:unhideWhenUsed/>
    <w:rsid w:val="00842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issa-Corbisiero-Peters@chcymru.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 H Cymru</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Lamb</dc:creator>
  <cp:lastModifiedBy>Bethan Davies</cp:lastModifiedBy>
  <cp:revision>2</cp:revision>
  <dcterms:created xsi:type="dcterms:W3CDTF">2017-06-14T16:20:00Z</dcterms:created>
  <dcterms:modified xsi:type="dcterms:W3CDTF">2017-06-14T16:20:00Z</dcterms:modified>
</cp:coreProperties>
</file>