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AA8" w:rsidRDefault="002E6AA8" w:rsidP="002E6AA8">
      <w:pPr>
        <w:rPr>
          <w:rFonts w:ascii="Arial" w:hAnsi="Arial" w:cs="Arial"/>
          <w:b/>
          <w:u w:val="single"/>
        </w:rPr>
      </w:pPr>
    </w:p>
    <w:p w:rsidR="005E591E" w:rsidRPr="006223B0" w:rsidRDefault="000E1E5A" w:rsidP="002E6AA8">
      <w:pPr>
        <w:jc w:val="center"/>
        <w:rPr>
          <w:rFonts w:ascii="Arial" w:hAnsi="Arial" w:cs="Arial"/>
          <w:b/>
          <w:u w:val="single"/>
        </w:rPr>
      </w:pPr>
      <w:r w:rsidRPr="006223B0">
        <w:rPr>
          <w:rFonts w:ascii="Arial" w:hAnsi="Arial" w:cs="Arial"/>
          <w:b/>
          <w:u w:val="single"/>
        </w:rPr>
        <w:t>A</w:t>
      </w:r>
      <w:r w:rsidR="005E591E" w:rsidRPr="006223B0">
        <w:rPr>
          <w:rFonts w:ascii="Arial" w:hAnsi="Arial" w:cs="Arial"/>
          <w:b/>
          <w:u w:val="single"/>
        </w:rPr>
        <w:t>ffordable and sustainable</w:t>
      </w:r>
      <w:r w:rsidR="000D6803" w:rsidRPr="006223B0">
        <w:rPr>
          <w:rFonts w:ascii="Arial" w:hAnsi="Arial" w:cs="Arial"/>
          <w:b/>
          <w:u w:val="single"/>
        </w:rPr>
        <w:t>: a new</w:t>
      </w:r>
      <w:r w:rsidR="005E591E" w:rsidRPr="006223B0">
        <w:rPr>
          <w:rFonts w:ascii="Arial" w:hAnsi="Arial" w:cs="Arial"/>
          <w:b/>
          <w:u w:val="single"/>
        </w:rPr>
        <w:t xml:space="preserve"> approach to rent setting</w:t>
      </w:r>
    </w:p>
    <w:p w:rsidR="00840812" w:rsidRPr="006223B0" w:rsidRDefault="005E591E" w:rsidP="00912AA9">
      <w:pPr>
        <w:pStyle w:val="ListParagraph"/>
        <w:numPr>
          <w:ilvl w:val="0"/>
          <w:numId w:val="13"/>
        </w:numPr>
        <w:rPr>
          <w:rFonts w:cs="Arial"/>
          <w:b/>
          <w:u w:val="single"/>
        </w:rPr>
      </w:pPr>
      <w:r w:rsidRPr="006223B0">
        <w:rPr>
          <w:rFonts w:cs="Arial"/>
          <w:b/>
          <w:u w:val="single"/>
        </w:rPr>
        <w:t xml:space="preserve">Background </w:t>
      </w:r>
    </w:p>
    <w:p w:rsidR="005E591E" w:rsidRPr="006223B0" w:rsidRDefault="005E591E" w:rsidP="00A65A8D">
      <w:pPr>
        <w:rPr>
          <w:rFonts w:ascii="Arial" w:hAnsi="Arial" w:cs="Arial"/>
        </w:rPr>
      </w:pPr>
      <w:r w:rsidRPr="006223B0">
        <w:rPr>
          <w:rFonts w:ascii="Arial" w:hAnsi="Arial" w:cs="Arial"/>
        </w:rPr>
        <w:t xml:space="preserve">This policy note sets out views upon the current approach to rent setting and proposals for an alternative approach to rent setting moving forward. The views in this document </w:t>
      </w:r>
      <w:proofErr w:type="gramStart"/>
      <w:r w:rsidRPr="006223B0">
        <w:rPr>
          <w:rFonts w:ascii="Arial" w:hAnsi="Arial" w:cs="Arial"/>
        </w:rPr>
        <w:t>are informed</w:t>
      </w:r>
      <w:proofErr w:type="gramEnd"/>
      <w:r w:rsidRPr="006223B0">
        <w:rPr>
          <w:rFonts w:ascii="Arial" w:hAnsi="Arial" w:cs="Arial"/>
        </w:rPr>
        <w:t xml:space="preserve"> by: </w:t>
      </w:r>
    </w:p>
    <w:p w:rsidR="005E591E" w:rsidRPr="006223B0" w:rsidRDefault="005E591E" w:rsidP="005E591E">
      <w:pPr>
        <w:pStyle w:val="ListParagraph"/>
        <w:numPr>
          <w:ilvl w:val="0"/>
          <w:numId w:val="10"/>
        </w:numPr>
        <w:rPr>
          <w:rFonts w:cs="Arial"/>
        </w:rPr>
      </w:pPr>
      <w:proofErr w:type="gramStart"/>
      <w:r w:rsidRPr="006223B0">
        <w:rPr>
          <w:rFonts w:cs="Arial"/>
        </w:rPr>
        <w:t>3</w:t>
      </w:r>
      <w:proofErr w:type="gramEnd"/>
      <w:r w:rsidRPr="006223B0">
        <w:rPr>
          <w:rFonts w:cs="Arial"/>
        </w:rPr>
        <w:t xml:space="preserve"> rent setting roadshows, attended by 86% of housing associations in Wales. </w:t>
      </w:r>
    </w:p>
    <w:p w:rsidR="005E591E" w:rsidRPr="006223B0" w:rsidRDefault="005E591E" w:rsidP="005E591E">
      <w:pPr>
        <w:pStyle w:val="ListParagraph"/>
        <w:numPr>
          <w:ilvl w:val="0"/>
          <w:numId w:val="10"/>
        </w:numPr>
        <w:rPr>
          <w:rFonts w:cs="Arial"/>
        </w:rPr>
      </w:pPr>
      <w:r w:rsidRPr="006223B0">
        <w:rPr>
          <w:rFonts w:cs="Arial"/>
        </w:rPr>
        <w:t xml:space="preserve">Feedback to </w:t>
      </w:r>
      <w:proofErr w:type="gramStart"/>
      <w:r w:rsidRPr="006223B0">
        <w:rPr>
          <w:rFonts w:cs="Arial"/>
        </w:rPr>
        <w:t>CHC’s</w:t>
      </w:r>
      <w:proofErr w:type="gramEnd"/>
      <w:r w:rsidRPr="006223B0">
        <w:rPr>
          <w:rFonts w:cs="Arial"/>
        </w:rPr>
        <w:t xml:space="preserve"> rent setting consultation. </w:t>
      </w:r>
    </w:p>
    <w:p w:rsidR="005E591E" w:rsidRPr="006223B0" w:rsidRDefault="005E591E" w:rsidP="005E591E">
      <w:pPr>
        <w:pStyle w:val="ListParagraph"/>
        <w:numPr>
          <w:ilvl w:val="0"/>
          <w:numId w:val="10"/>
        </w:numPr>
        <w:rPr>
          <w:rFonts w:cs="Arial"/>
        </w:rPr>
      </w:pPr>
      <w:r w:rsidRPr="006223B0">
        <w:rPr>
          <w:rFonts w:cs="Arial"/>
        </w:rPr>
        <w:t xml:space="preserve">Discussions at CHC forums including the Financial Services and Chief Executives Forum. </w:t>
      </w:r>
    </w:p>
    <w:p w:rsidR="005E591E" w:rsidRPr="006223B0" w:rsidRDefault="005E591E" w:rsidP="002E6AA8">
      <w:pPr>
        <w:rPr>
          <w:rFonts w:ascii="Arial" w:hAnsi="Arial" w:cs="Arial"/>
        </w:rPr>
      </w:pPr>
      <w:r w:rsidRPr="006223B0">
        <w:rPr>
          <w:rFonts w:ascii="Arial" w:hAnsi="Arial" w:cs="Arial"/>
        </w:rPr>
        <w:t xml:space="preserve">Those discussions took place in the context of </w:t>
      </w:r>
      <w:r w:rsidR="002E6AA8" w:rsidRPr="006223B0">
        <w:rPr>
          <w:rFonts w:ascii="Arial" w:hAnsi="Arial" w:cs="Arial"/>
        </w:rPr>
        <w:t xml:space="preserve">a series of significant policy changes including </w:t>
      </w:r>
      <w:r w:rsidRPr="006223B0">
        <w:rPr>
          <w:rFonts w:ascii="Arial" w:hAnsi="Arial" w:cs="Arial"/>
        </w:rPr>
        <w:t xml:space="preserve">the forthcoming </w:t>
      </w:r>
      <w:r w:rsidR="002E6AA8" w:rsidRPr="006223B0">
        <w:rPr>
          <w:rFonts w:ascii="Arial" w:hAnsi="Arial" w:cs="Arial"/>
        </w:rPr>
        <w:t xml:space="preserve">application of the LHA maxima and the roll out of Universal </w:t>
      </w:r>
      <w:proofErr w:type="gramStart"/>
      <w:r w:rsidR="002E6AA8" w:rsidRPr="006223B0">
        <w:rPr>
          <w:rFonts w:ascii="Arial" w:hAnsi="Arial" w:cs="Arial"/>
        </w:rPr>
        <w:t>Credit which</w:t>
      </w:r>
      <w:proofErr w:type="gramEnd"/>
      <w:r w:rsidR="002E6AA8" w:rsidRPr="006223B0">
        <w:rPr>
          <w:rFonts w:ascii="Arial" w:hAnsi="Arial" w:cs="Arial"/>
        </w:rPr>
        <w:t xml:space="preserve"> are predicted to result in significant risks for some associations to the revenue stream. Also relevant is the shared commitment with Welsh Government to deliver 20,000 affordable homes over the assembly period and a </w:t>
      </w:r>
      <w:r w:rsidRPr="006223B0">
        <w:rPr>
          <w:rFonts w:ascii="Arial" w:hAnsi="Arial" w:cs="Arial"/>
        </w:rPr>
        <w:t xml:space="preserve">Welsh Government </w:t>
      </w:r>
      <w:proofErr w:type="gramStart"/>
      <w:r w:rsidR="00DE76C1" w:rsidRPr="006223B0">
        <w:rPr>
          <w:rFonts w:ascii="Arial" w:hAnsi="Arial" w:cs="Arial"/>
        </w:rPr>
        <w:t>long term</w:t>
      </w:r>
      <w:proofErr w:type="gramEnd"/>
      <w:r w:rsidR="00DE76C1" w:rsidRPr="006223B0">
        <w:rPr>
          <w:rFonts w:ascii="Arial" w:hAnsi="Arial" w:cs="Arial"/>
        </w:rPr>
        <w:t xml:space="preserve"> </w:t>
      </w:r>
      <w:r w:rsidRPr="006223B0">
        <w:rPr>
          <w:rFonts w:ascii="Arial" w:hAnsi="Arial" w:cs="Arial"/>
        </w:rPr>
        <w:t>review of rent setting</w:t>
      </w:r>
      <w:r w:rsidR="00DE76C1" w:rsidRPr="006223B0">
        <w:rPr>
          <w:rFonts w:ascii="Arial" w:hAnsi="Arial" w:cs="Arial"/>
        </w:rPr>
        <w:t xml:space="preserve">. </w:t>
      </w:r>
      <w:r w:rsidR="00983179">
        <w:rPr>
          <w:rFonts w:ascii="Arial" w:hAnsi="Arial" w:cs="Arial"/>
        </w:rPr>
        <w:br/>
      </w:r>
    </w:p>
    <w:p w:rsidR="000E1E5A" w:rsidRPr="006223B0" w:rsidRDefault="00DE76C1" w:rsidP="00912AA9">
      <w:pPr>
        <w:pStyle w:val="ListParagraph"/>
        <w:numPr>
          <w:ilvl w:val="0"/>
          <w:numId w:val="13"/>
        </w:numPr>
        <w:rPr>
          <w:rFonts w:cs="Arial"/>
          <w:b/>
          <w:u w:val="single"/>
        </w:rPr>
      </w:pPr>
      <w:r w:rsidRPr="006223B0">
        <w:rPr>
          <w:rFonts w:cs="Arial"/>
          <w:b/>
          <w:u w:val="single"/>
        </w:rPr>
        <w:t>Our ambition</w:t>
      </w:r>
      <w:r w:rsidR="000E1E5A" w:rsidRPr="006223B0">
        <w:rPr>
          <w:rFonts w:cs="Arial"/>
          <w:b/>
          <w:u w:val="single"/>
        </w:rPr>
        <w:t xml:space="preserve"> </w:t>
      </w:r>
    </w:p>
    <w:p w:rsidR="002E6AA8" w:rsidRPr="006223B0" w:rsidRDefault="00DE76C1" w:rsidP="00DE76C1">
      <w:pPr>
        <w:rPr>
          <w:rFonts w:ascii="Arial" w:hAnsi="Arial" w:cs="Arial"/>
          <w:i/>
        </w:rPr>
      </w:pPr>
      <w:r w:rsidRPr="006223B0">
        <w:rPr>
          <w:rFonts w:ascii="Arial" w:hAnsi="Arial" w:cs="Arial"/>
        </w:rPr>
        <w:t xml:space="preserve">Our ambition is for a </w:t>
      </w:r>
      <w:r w:rsidR="002E6AA8" w:rsidRPr="006223B0">
        <w:rPr>
          <w:rFonts w:ascii="Arial" w:hAnsi="Arial" w:cs="Arial"/>
        </w:rPr>
        <w:t xml:space="preserve">locally set rent at a level that is affordable </w:t>
      </w:r>
      <w:r w:rsidR="00747859" w:rsidRPr="006223B0">
        <w:rPr>
          <w:rFonts w:ascii="Arial" w:hAnsi="Arial" w:cs="Arial"/>
        </w:rPr>
        <w:t xml:space="preserve">for </w:t>
      </w:r>
      <w:r w:rsidR="002E6AA8" w:rsidRPr="006223B0">
        <w:rPr>
          <w:rFonts w:ascii="Arial" w:hAnsi="Arial" w:cs="Arial"/>
        </w:rPr>
        <w:t>tenants</w:t>
      </w:r>
      <w:r w:rsidR="00747859" w:rsidRPr="006223B0">
        <w:rPr>
          <w:rFonts w:ascii="Arial" w:hAnsi="Arial" w:cs="Arial"/>
        </w:rPr>
        <w:t xml:space="preserve">, protects lender confidence, and maintains the confidence of government in this sector, offering value for money. </w:t>
      </w:r>
      <w:r w:rsidRPr="006223B0">
        <w:rPr>
          <w:rFonts w:ascii="Arial" w:hAnsi="Arial" w:cs="Arial"/>
        </w:rPr>
        <w:t xml:space="preserve">This depends on the following: </w:t>
      </w:r>
    </w:p>
    <w:p w:rsidR="000E1E5A" w:rsidRPr="006223B0" w:rsidRDefault="00DE76C1" w:rsidP="00230980">
      <w:pPr>
        <w:rPr>
          <w:rFonts w:ascii="Arial" w:hAnsi="Arial" w:cs="Arial"/>
        </w:rPr>
      </w:pPr>
      <w:r w:rsidRPr="006223B0">
        <w:rPr>
          <w:rFonts w:ascii="Arial" w:hAnsi="Arial" w:cs="Arial"/>
          <w:b/>
        </w:rPr>
        <w:t>Flexibility</w:t>
      </w:r>
      <w:r w:rsidR="005A7627" w:rsidRPr="006223B0">
        <w:rPr>
          <w:rFonts w:ascii="Arial" w:hAnsi="Arial" w:cs="Arial"/>
          <w:b/>
        </w:rPr>
        <w:t xml:space="preserve">: </w:t>
      </w:r>
      <w:r w:rsidR="005A7627" w:rsidRPr="006223B0">
        <w:rPr>
          <w:rFonts w:ascii="Arial" w:hAnsi="Arial" w:cs="Arial"/>
        </w:rPr>
        <w:t>As</w:t>
      </w:r>
      <w:r w:rsidR="000D6803" w:rsidRPr="006223B0">
        <w:rPr>
          <w:rFonts w:ascii="Arial" w:hAnsi="Arial" w:cs="Arial"/>
        </w:rPr>
        <w:t xml:space="preserve"> </w:t>
      </w:r>
      <w:r w:rsidR="000E1E5A" w:rsidRPr="006223B0">
        <w:rPr>
          <w:rFonts w:ascii="Arial" w:hAnsi="Arial" w:cs="Arial"/>
        </w:rPr>
        <w:t>independent priv</w:t>
      </w:r>
      <w:r w:rsidR="000D6803" w:rsidRPr="006223B0">
        <w:rPr>
          <w:rFonts w:ascii="Arial" w:hAnsi="Arial" w:cs="Arial"/>
        </w:rPr>
        <w:t>ate bodies that exist for public</w:t>
      </w:r>
      <w:r w:rsidR="000E1E5A" w:rsidRPr="006223B0">
        <w:rPr>
          <w:rFonts w:ascii="Arial" w:hAnsi="Arial" w:cs="Arial"/>
        </w:rPr>
        <w:t xml:space="preserve"> good</w:t>
      </w:r>
      <w:r w:rsidR="000D6803" w:rsidRPr="006223B0">
        <w:rPr>
          <w:rFonts w:ascii="Arial" w:hAnsi="Arial" w:cs="Arial"/>
        </w:rPr>
        <w:t xml:space="preserve"> housing associations</w:t>
      </w:r>
      <w:r w:rsidR="000E1E5A" w:rsidRPr="006223B0">
        <w:rPr>
          <w:rFonts w:ascii="Arial" w:hAnsi="Arial" w:cs="Arial"/>
        </w:rPr>
        <w:t xml:space="preserve"> are led by their </w:t>
      </w:r>
      <w:r w:rsidR="00747859" w:rsidRPr="006223B0">
        <w:rPr>
          <w:rFonts w:ascii="Arial" w:hAnsi="Arial" w:cs="Arial"/>
        </w:rPr>
        <w:t xml:space="preserve">mission and </w:t>
      </w:r>
      <w:r w:rsidR="000E1E5A" w:rsidRPr="006223B0">
        <w:rPr>
          <w:rFonts w:ascii="Arial" w:hAnsi="Arial" w:cs="Arial"/>
        </w:rPr>
        <w:t xml:space="preserve">social purpose </w:t>
      </w:r>
      <w:r w:rsidR="000D6803" w:rsidRPr="006223B0">
        <w:rPr>
          <w:rFonts w:ascii="Arial" w:hAnsi="Arial" w:cs="Arial"/>
        </w:rPr>
        <w:t>to provide</w:t>
      </w:r>
      <w:r w:rsidR="000E1E5A" w:rsidRPr="006223B0">
        <w:rPr>
          <w:rFonts w:ascii="Arial" w:hAnsi="Arial" w:cs="Arial"/>
        </w:rPr>
        <w:t xml:space="preserve"> housing </w:t>
      </w:r>
      <w:r w:rsidR="000D6803" w:rsidRPr="006223B0">
        <w:rPr>
          <w:rFonts w:ascii="Arial" w:hAnsi="Arial" w:cs="Arial"/>
        </w:rPr>
        <w:t xml:space="preserve">and </w:t>
      </w:r>
      <w:r w:rsidR="000E1E5A" w:rsidRPr="006223B0">
        <w:rPr>
          <w:rFonts w:ascii="Arial" w:hAnsi="Arial" w:cs="Arial"/>
        </w:rPr>
        <w:t xml:space="preserve">support to those in need. </w:t>
      </w:r>
      <w:r w:rsidR="005A7627" w:rsidRPr="006223B0">
        <w:rPr>
          <w:rFonts w:ascii="Arial" w:hAnsi="Arial" w:cs="Arial"/>
        </w:rPr>
        <w:t>I</w:t>
      </w:r>
      <w:r w:rsidRPr="006223B0">
        <w:rPr>
          <w:rFonts w:ascii="Arial" w:hAnsi="Arial" w:cs="Arial"/>
        </w:rPr>
        <w:t>ndependent housing association b</w:t>
      </w:r>
      <w:r w:rsidR="005A7627" w:rsidRPr="006223B0">
        <w:rPr>
          <w:rFonts w:ascii="Arial" w:hAnsi="Arial" w:cs="Arial"/>
        </w:rPr>
        <w:t>oards</w:t>
      </w:r>
      <w:r w:rsidR="000D6803" w:rsidRPr="006223B0">
        <w:rPr>
          <w:rFonts w:ascii="Arial" w:hAnsi="Arial" w:cs="Arial"/>
        </w:rPr>
        <w:t xml:space="preserve"> </w:t>
      </w:r>
      <w:proofErr w:type="gramStart"/>
      <w:r w:rsidR="000D6803" w:rsidRPr="006223B0">
        <w:rPr>
          <w:rFonts w:ascii="Arial" w:hAnsi="Arial" w:cs="Arial"/>
        </w:rPr>
        <w:t>should be provided</w:t>
      </w:r>
      <w:proofErr w:type="gramEnd"/>
      <w:r w:rsidR="000D6803" w:rsidRPr="006223B0">
        <w:rPr>
          <w:rFonts w:ascii="Arial" w:hAnsi="Arial" w:cs="Arial"/>
        </w:rPr>
        <w:t xml:space="preserve"> with the flexibility over their main income stream to maximise their social impact</w:t>
      </w:r>
      <w:r w:rsidRPr="006223B0">
        <w:rPr>
          <w:rFonts w:ascii="Arial" w:hAnsi="Arial" w:cs="Arial"/>
        </w:rPr>
        <w:t xml:space="preserve"> and </w:t>
      </w:r>
      <w:r w:rsidR="00937498" w:rsidRPr="006223B0">
        <w:rPr>
          <w:rFonts w:ascii="Arial" w:hAnsi="Arial" w:cs="Arial"/>
        </w:rPr>
        <w:t>plan over the long term</w:t>
      </w:r>
      <w:r w:rsidRPr="006223B0">
        <w:rPr>
          <w:rFonts w:ascii="Arial" w:hAnsi="Arial" w:cs="Arial"/>
        </w:rPr>
        <w:t xml:space="preserve">. </w:t>
      </w:r>
    </w:p>
    <w:p w:rsidR="005A7627" w:rsidRPr="006223B0" w:rsidRDefault="00DE76C1" w:rsidP="00230980">
      <w:pPr>
        <w:rPr>
          <w:rFonts w:ascii="Arial" w:hAnsi="Arial" w:cs="Arial"/>
        </w:rPr>
      </w:pPr>
      <w:r w:rsidRPr="006223B0">
        <w:rPr>
          <w:rFonts w:ascii="Arial" w:hAnsi="Arial" w:cs="Arial"/>
          <w:b/>
        </w:rPr>
        <w:t>Sustainability</w:t>
      </w:r>
      <w:r w:rsidR="005A7627" w:rsidRPr="006223B0">
        <w:rPr>
          <w:rFonts w:ascii="Arial" w:hAnsi="Arial" w:cs="Arial"/>
          <w:b/>
        </w:rPr>
        <w:t xml:space="preserve">: </w:t>
      </w:r>
      <w:r w:rsidR="005A7627" w:rsidRPr="006223B0">
        <w:rPr>
          <w:rFonts w:ascii="Arial" w:hAnsi="Arial" w:cs="Arial"/>
        </w:rPr>
        <w:t>Fundamental to housing associations’ ability to invest in new and existing homes is ensuring a sustainable income stream</w:t>
      </w:r>
      <w:r w:rsidRPr="006223B0">
        <w:rPr>
          <w:rFonts w:ascii="Arial" w:hAnsi="Arial" w:cs="Arial"/>
        </w:rPr>
        <w:t xml:space="preserve">. </w:t>
      </w:r>
      <w:r w:rsidR="005A7627" w:rsidRPr="006223B0">
        <w:rPr>
          <w:rFonts w:ascii="Arial" w:hAnsi="Arial" w:cs="Arial"/>
        </w:rPr>
        <w:t>Welfare reform poses a fundamental</w:t>
      </w:r>
      <w:r w:rsidRPr="006223B0">
        <w:rPr>
          <w:rFonts w:ascii="Arial" w:hAnsi="Arial" w:cs="Arial"/>
        </w:rPr>
        <w:t xml:space="preserve"> challenge to the sustainability of this model. Flexibility will enable housing associations to balance </w:t>
      </w:r>
      <w:r w:rsidR="00747859" w:rsidRPr="006223B0">
        <w:rPr>
          <w:rFonts w:ascii="Arial" w:hAnsi="Arial" w:cs="Arial"/>
        </w:rPr>
        <w:t xml:space="preserve">and mitigate </w:t>
      </w:r>
      <w:r w:rsidRPr="006223B0">
        <w:rPr>
          <w:rFonts w:ascii="Arial" w:hAnsi="Arial" w:cs="Arial"/>
        </w:rPr>
        <w:t>risk</w:t>
      </w:r>
      <w:r w:rsidR="00747859" w:rsidRPr="006223B0">
        <w:rPr>
          <w:rFonts w:ascii="Arial" w:hAnsi="Arial" w:cs="Arial"/>
        </w:rPr>
        <w:t>s</w:t>
      </w:r>
      <w:r w:rsidRPr="006223B0">
        <w:rPr>
          <w:rFonts w:ascii="Arial" w:hAnsi="Arial" w:cs="Arial"/>
        </w:rPr>
        <w:t xml:space="preserve"> to fulfil their core purpose. </w:t>
      </w:r>
    </w:p>
    <w:p w:rsidR="00937498" w:rsidRPr="006223B0" w:rsidRDefault="00DE76C1" w:rsidP="00230980">
      <w:pPr>
        <w:rPr>
          <w:rFonts w:ascii="Arial" w:hAnsi="Arial" w:cs="Arial"/>
        </w:rPr>
      </w:pPr>
      <w:r w:rsidRPr="006223B0">
        <w:rPr>
          <w:rFonts w:ascii="Arial" w:hAnsi="Arial" w:cs="Arial"/>
          <w:b/>
        </w:rPr>
        <w:t>Transparency</w:t>
      </w:r>
      <w:r w:rsidR="00C869D2" w:rsidRPr="006223B0">
        <w:rPr>
          <w:rFonts w:ascii="Arial" w:hAnsi="Arial" w:cs="Arial"/>
          <w:b/>
        </w:rPr>
        <w:t xml:space="preserve">: </w:t>
      </w:r>
      <w:r w:rsidR="00937498" w:rsidRPr="006223B0">
        <w:rPr>
          <w:rFonts w:ascii="Arial" w:hAnsi="Arial" w:cs="Arial"/>
        </w:rPr>
        <w:t xml:space="preserve">Rents should be set clearly and they should be understandable to tenants and investors. The current </w:t>
      </w:r>
      <w:r w:rsidRPr="006223B0">
        <w:rPr>
          <w:rFonts w:ascii="Arial" w:hAnsi="Arial" w:cs="Arial"/>
        </w:rPr>
        <w:t>centrally set</w:t>
      </w:r>
      <w:r w:rsidR="00DC567E" w:rsidRPr="006223B0">
        <w:rPr>
          <w:rFonts w:ascii="Arial" w:hAnsi="Arial" w:cs="Arial"/>
        </w:rPr>
        <w:t>,</w:t>
      </w:r>
      <w:r w:rsidRPr="006223B0">
        <w:rPr>
          <w:rFonts w:ascii="Arial" w:hAnsi="Arial" w:cs="Arial"/>
        </w:rPr>
        <w:t xml:space="preserve"> but locally delivered </w:t>
      </w:r>
      <w:r w:rsidR="00937498" w:rsidRPr="006223B0">
        <w:rPr>
          <w:rFonts w:ascii="Arial" w:hAnsi="Arial" w:cs="Arial"/>
        </w:rPr>
        <w:t xml:space="preserve">policy </w:t>
      </w:r>
      <w:r w:rsidRPr="006223B0">
        <w:rPr>
          <w:rFonts w:ascii="Arial" w:hAnsi="Arial" w:cs="Arial"/>
        </w:rPr>
        <w:t xml:space="preserve">has </w:t>
      </w:r>
      <w:r w:rsidR="00937498" w:rsidRPr="006223B0">
        <w:rPr>
          <w:rFonts w:ascii="Arial" w:hAnsi="Arial" w:cs="Arial"/>
        </w:rPr>
        <w:t>resulted in confused accountabilities</w:t>
      </w:r>
      <w:r w:rsidR="00DC567E" w:rsidRPr="006223B0">
        <w:rPr>
          <w:rFonts w:ascii="Arial" w:hAnsi="Arial" w:cs="Arial"/>
        </w:rPr>
        <w:t>.</w:t>
      </w:r>
      <w:r w:rsidR="00937498" w:rsidRPr="006223B0">
        <w:rPr>
          <w:rFonts w:ascii="Arial" w:hAnsi="Arial" w:cs="Arial"/>
        </w:rPr>
        <w:t xml:space="preserve"> </w:t>
      </w:r>
      <w:r w:rsidR="003A0EF5" w:rsidRPr="006223B0">
        <w:rPr>
          <w:rFonts w:ascii="Arial" w:hAnsi="Arial" w:cs="Arial"/>
        </w:rPr>
        <w:t xml:space="preserve">Each housing association should have a rent policy in place approved by their board and developed with the involvement of tenants and wider stakeholders. </w:t>
      </w:r>
    </w:p>
    <w:p w:rsidR="005A7627" w:rsidRPr="006223B0" w:rsidRDefault="00DE76C1" w:rsidP="00230980">
      <w:pPr>
        <w:rPr>
          <w:rFonts w:ascii="Arial" w:hAnsi="Arial" w:cs="Arial"/>
        </w:rPr>
      </w:pPr>
      <w:r w:rsidRPr="006223B0">
        <w:rPr>
          <w:rFonts w:ascii="Arial" w:hAnsi="Arial" w:cs="Arial"/>
          <w:b/>
        </w:rPr>
        <w:t>Fairness</w:t>
      </w:r>
      <w:r w:rsidR="00937498" w:rsidRPr="006223B0">
        <w:rPr>
          <w:rFonts w:ascii="Arial" w:hAnsi="Arial" w:cs="Arial"/>
          <w:b/>
        </w:rPr>
        <w:t>:</w:t>
      </w:r>
      <w:r w:rsidR="00937498" w:rsidRPr="006223B0">
        <w:rPr>
          <w:rFonts w:ascii="Arial" w:hAnsi="Arial" w:cs="Arial"/>
        </w:rPr>
        <w:t xml:space="preserve"> </w:t>
      </w:r>
      <w:r w:rsidR="0094201A" w:rsidRPr="006223B0">
        <w:rPr>
          <w:rFonts w:ascii="Arial" w:hAnsi="Arial" w:cs="Arial"/>
        </w:rPr>
        <w:t xml:space="preserve">The current system does not reflect the changes in UK welfare </w:t>
      </w:r>
      <w:proofErr w:type="gramStart"/>
      <w:r w:rsidR="0094201A" w:rsidRPr="006223B0">
        <w:rPr>
          <w:rFonts w:ascii="Arial" w:hAnsi="Arial" w:cs="Arial"/>
        </w:rPr>
        <w:t>policy which has</w:t>
      </w:r>
      <w:r w:rsidR="00937498" w:rsidRPr="006223B0">
        <w:rPr>
          <w:rFonts w:ascii="Arial" w:hAnsi="Arial" w:cs="Arial"/>
        </w:rPr>
        <w:t xml:space="preserve"> a major impact on </w:t>
      </w:r>
      <w:r w:rsidRPr="006223B0">
        <w:rPr>
          <w:rFonts w:ascii="Arial" w:hAnsi="Arial" w:cs="Arial"/>
        </w:rPr>
        <w:t>tenants’ ability to pay</w:t>
      </w:r>
      <w:proofErr w:type="gramEnd"/>
      <w:r w:rsidRPr="006223B0">
        <w:rPr>
          <w:rFonts w:ascii="Arial" w:hAnsi="Arial" w:cs="Arial"/>
        </w:rPr>
        <w:t xml:space="preserve"> and has</w:t>
      </w:r>
      <w:r w:rsidR="00937498" w:rsidRPr="006223B0">
        <w:rPr>
          <w:rFonts w:ascii="Arial" w:hAnsi="Arial" w:cs="Arial"/>
        </w:rPr>
        <w:t xml:space="preserve"> lost touch with the market. </w:t>
      </w:r>
    </w:p>
    <w:p w:rsidR="0094201A" w:rsidRPr="006223B0" w:rsidRDefault="0094201A" w:rsidP="00230980">
      <w:pPr>
        <w:rPr>
          <w:rFonts w:ascii="Arial" w:hAnsi="Arial" w:cs="Arial"/>
        </w:rPr>
      </w:pPr>
    </w:p>
    <w:p w:rsidR="0094201A" w:rsidRPr="006223B0" w:rsidRDefault="0094201A" w:rsidP="00230980">
      <w:pPr>
        <w:rPr>
          <w:rFonts w:ascii="Arial" w:hAnsi="Arial" w:cs="Arial"/>
        </w:rPr>
      </w:pPr>
    </w:p>
    <w:p w:rsidR="0094201A" w:rsidRPr="006223B0" w:rsidRDefault="0094201A" w:rsidP="00230980">
      <w:pPr>
        <w:rPr>
          <w:rFonts w:ascii="Arial" w:hAnsi="Arial" w:cs="Arial"/>
          <w:b/>
        </w:rPr>
      </w:pPr>
    </w:p>
    <w:p w:rsidR="00C869D2" w:rsidRPr="006223B0" w:rsidRDefault="00DE76C1" w:rsidP="00230980">
      <w:pPr>
        <w:rPr>
          <w:rFonts w:ascii="Arial" w:hAnsi="Arial" w:cs="Arial"/>
        </w:rPr>
      </w:pPr>
      <w:r w:rsidRPr="006223B0">
        <w:rPr>
          <w:rFonts w:ascii="Arial" w:hAnsi="Arial" w:cs="Arial"/>
          <w:b/>
        </w:rPr>
        <w:t>Accountability</w:t>
      </w:r>
      <w:r w:rsidR="00C869D2" w:rsidRPr="006223B0">
        <w:rPr>
          <w:rFonts w:ascii="Arial" w:hAnsi="Arial" w:cs="Arial"/>
          <w:b/>
        </w:rPr>
        <w:t>:</w:t>
      </w:r>
      <w:r w:rsidR="00C869D2" w:rsidRPr="006223B0">
        <w:rPr>
          <w:rFonts w:ascii="Arial" w:hAnsi="Arial" w:cs="Arial"/>
        </w:rPr>
        <w:t xml:space="preserve"> </w:t>
      </w:r>
      <w:r w:rsidR="002E6AA8" w:rsidRPr="006223B0">
        <w:rPr>
          <w:rFonts w:ascii="Arial" w:hAnsi="Arial" w:cs="Arial"/>
        </w:rPr>
        <w:t>It must be clear to tenants, investors and regulators who is responsible for making decisions over rent. Housing associations</w:t>
      </w:r>
      <w:r w:rsidRPr="006223B0">
        <w:rPr>
          <w:rFonts w:ascii="Arial" w:hAnsi="Arial" w:cs="Arial"/>
        </w:rPr>
        <w:t xml:space="preserve"> </w:t>
      </w:r>
      <w:proofErr w:type="gramStart"/>
      <w:r w:rsidR="002E6AA8" w:rsidRPr="006223B0">
        <w:rPr>
          <w:rFonts w:ascii="Arial" w:hAnsi="Arial" w:cs="Arial"/>
        </w:rPr>
        <w:t>are robustly regulated</w:t>
      </w:r>
      <w:proofErr w:type="gramEnd"/>
      <w:r w:rsidR="002E6AA8" w:rsidRPr="006223B0">
        <w:rPr>
          <w:rFonts w:ascii="Arial" w:hAnsi="Arial" w:cs="Arial"/>
        </w:rPr>
        <w:t xml:space="preserve"> and have strong accountability arrangements to their existing tenants and key partners.</w:t>
      </w:r>
      <w:r w:rsidRPr="006223B0">
        <w:rPr>
          <w:rFonts w:ascii="Arial" w:hAnsi="Arial" w:cs="Arial"/>
        </w:rPr>
        <w:t xml:space="preserve"> </w:t>
      </w:r>
      <w:r w:rsidR="002E6AA8" w:rsidRPr="006223B0">
        <w:rPr>
          <w:rFonts w:ascii="Arial" w:hAnsi="Arial" w:cs="Arial"/>
        </w:rPr>
        <w:t xml:space="preserve"> </w:t>
      </w:r>
    </w:p>
    <w:p w:rsidR="0094201A" w:rsidRPr="006223B0" w:rsidRDefault="0094201A" w:rsidP="0094201A">
      <w:pPr>
        <w:rPr>
          <w:rFonts w:ascii="Arial" w:hAnsi="Arial" w:cs="Arial"/>
        </w:rPr>
      </w:pPr>
      <w:r w:rsidRPr="006223B0">
        <w:rPr>
          <w:rFonts w:ascii="Arial" w:hAnsi="Arial" w:cs="Arial"/>
          <w:b/>
        </w:rPr>
        <w:t xml:space="preserve">Reflect changes to welfare policy at a UK level: </w:t>
      </w:r>
      <w:r w:rsidRPr="006223B0">
        <w:rPr>
          <w:rFonts w:ascii="Arial" w:hAnsi="Arial" w:cs="Arial"/>
        </w:rPr>
        <w:t xml:space="preserve">The existing approach </w:t>
      </w:r>
      <w:proofErr w:type="gramStart"/>
      <w:r w:rsidRPr="006223B0">
        <w:rPr>
          <w:rFonts w:ascii="Arial" w:hAnsi="Arial" w:cs="Arial"/>
        </w:rPr>
        <w:t>was in part designed</w:t>
      </w:r>
      <w:proofErr w:type="gramEnd"/>
      <w:r w:rsidRPr="006223B0">
        <w:rPr>
          <w:rFonts w:ascii="Arial" w:hAnsi="Arial" w:cs="Arial"/>
        </w:rPr>
        <w:t xml:space="preserve"> to operate within a system that constrained HMT exposure via the benefit bill. However, the system has fundamentally changed via the forthcoming extension of the Local Housing Allowance to the social housing sector. There is no consequential impact of rent settlement for UK </w:t>
      </w:r>
      <w:proofErr w:type="gramStart"/>
      <w:r w:rsidRPr="006223B0">
        <w:rPr>
          <w:rFonts w:ascii="Arial" w:hAnsi="Arial" w:cs="Arial"/>
        </w:rPr>
        <w:t>tax payers</w:t>
      </w:r>
      <w:proofErr w:type="gramEnd"/>
      <w:r w:rsidRPr="006223B0">
        <w:rPr>
          <w:rFonts w:ascii="Arial" w:hAnsi="Arial" w:cs="Arial"/>
        </w:rPr>
        <w:t xml:space="preserve"> and Wales should be free to set rents the country, the associations and the councils need and which residents can afford.</w:t>
      </w:r>
      <w:r w:rsidR="00983179">
        <w:rPr>
          <w:rFonts w:ascii="Arial" w:hAnsi="Arial" w:cs="Arial"/>
        </w:rPr>
        <w:br/>
      </w:r>
    </w:p>
    <w:p w:rsidR="00230980" w:rsidRPr="006223B0" w:rsidRDefault="00230980" w:rsidP="00912AA9">
      <w:pPr>
        <w:pStyle w:val="ListParagraph"/>
        <w:numPr>
          <w:ilvl w:val="0"/>
          <w:numId w:val="13"/>
        </w:numPr>
        <w:rPr>
          <w:rFonts w:cs="Arial"/>
          <w:b/>
          <w:u w:val="single"/>
        </w:rPr>
      </w:pPr>
      <w:r w:rsidRPr="006223B0">
        <w:rPr>
          <w:rFonts w:cs="Arial"/>
          <w:b/>
          <w:u w:val="single"/>
        </w:rPr>
        <w:t xml:space="preserve">The ‘status quo’ </w:t>
      </w:r>
      <w:r w:rsidR="0041113D" w:rsidRPr="006223B0">
        <w:rPr>
          <w:rFonts w:cs="Arial"/>
          <w:b/>
          <w:u w:val="single"/>
        </w:rPr>
        <w:t xml:space="preserve">is not sustainable </w:t>
      </w:r>
    </w:p>
    <w:p w:rsidR="00912AA9" w:rsidRPr="006223B0" w:rsidRDefault="00912AA9" w:rsidP="00230980">
      <w:pPr>
        <w:rPr>
          <w:rFonts w:ascii="Arial" w:hAnsi="Arial" w:cs="Arial"/>
        </w:rPr>
      </w:pPr>
      <w:r w:rsidRPr="006223B0">
        <w:rPr>
          <w:rFonts w:ascii="Arial" w:hAnsi="Arial" w:cs="Arial"/>
        </w:rPr>
        <w:t xml:space="preserve">The status quo is not a sustainable approach to rent setting and </w:t>
      </w:r>
      <w:proofErr w:type="gramStart"/>
      <w:r w:rsidRPr="006223B0">
        <w:rPr>
          <w:rFonts w:ascii="Arial" w:hAnsi="Arial" w:cs="Arial"/>
        </w:rPr>
        <w:t>must be amended</w:t>
      </w:r>
      <w:proofErr w:type="gramEnd"/>
      <w:r w:rsidRPr="006223B0">
        <w:rPr>
          <w:rFonts w:ascii="Arial" w:hAnsi="Arial" w:cs="Arial"/>
        </w:rPr>
        <w:t xml:space="preserve">. Welsh Government’s review of rent setting provides an opportunity </w:t>
      </w:r>
      <w:proofErr w:type="gramStart"/>
      <w:r w:rsidRPr="006223B0">
        <w:rPr>
          <w:rFonts w:ascii="Arial" w:hAnsi="Arial" w:cs="Arial"/>
        </w:rPr>
        <w:t>to fundamentally consider</w:t>
      </w:r>
      <w:proofErr w:type="gramEnd"/>
      <w:r w:rsidRPr="006223B0">
        <w:rPr>
          <w:rFonts w:ascii="Arial" w:hAnsi="Arial" w:cs="Arial"/>
        </w:rPr>
        <w:t xml:space="preserve"> the role of rent setting in light of welfare policy and the role of housing associations as independent social businesses. </w:t>
      </w:r>
    </w:p>
    <w:p w:rsidR="0041113D" w:rsidRPr="006223B0" w:rsidRDefault="00912AA9" w:rsidP="00230980">
      <w:pPr>
        <w:rPr>
          <w:rFonts w:ascii="Arial" w:hAnsi="Arial" w:cs="Arial"/>
        </w:rPr>
      </w:pPr>
      <w:r w:rsidRPr="006223B0">
        <w:rPr>
          <w:rFonts w:ascii="Arial" w:hAnsi="Arial" w:cs="Arial"/>
        </w:rPr>
        <w:t xml:space="preserve">Our consultation with housing associations found that: </w:t>
      </w:r>
    </w:p>
    <w:p w:rsidR="00912AA9" w:rsidRPr="006223B0" w:rsidRDefault="00912AA9" w:rsidP="00912AA9">
      <w:pPr>
        <w:pStyle w:val="ListParagraph"/>
        <w:numPr>
          <w:ilvl w:val="0"/>
          <w:numId w:val="12"/>
        </w:numPr>
        <w:rPr>
          <w:rFonts w:cs="Arial"/>
        </w:rPr>
      </w:pPr>
      <w:r w:rsidRPr="006223B0">
        <w:rPr>
          <w:rFonts w:cs="Arial"/>
        </w:rPr>
        <w:t>Whilst the current approach technically enables flexibility within a centrally set envelope</w:t>
      </w:r>
      <w:proofErr w:type="gramStart"/>
      <w:r w:rsidRPr="006223B0">
        <w:rPr>
          <w:rFonts w:cs="Arial"/>
        </w:rPr>
        <w:t>;</w:t>
      </w:r>
      <w:proofErr w:type="gramEnd"/>
      <w:r w:rsidRPr="006223B0">
        <w:rPr>
          <w:rFonts w:cs="Arial"/>
        </w:rPr>
        <w:t xml:space="preserve"> the late announcement of the settlement, coupled with restrictive and dampening indicators means that practically there is little or no flexibility for most associations. </w:t>
      </w:r>
    </w:p>
    <w:p w:rsidR="00912AA9" w:rsidRPr="006223B0" w:rsidRDefault="00912AA9" w:rsidP="00912AA9">
      <w:pPr>
        <w:pStyle w:val="ListParagraph"/>
        <w:ind w:left="360"/>
        <w:rPr>
          <w:rFonts w:cs="Arial"/>
        </w:rPr>
      </w:pPr>
    </w:p>
    <w:p w:rsidR="003A0EF5" w:rsidRPr="006223B0" w:rsidRDefault="00912AA9" w:rsidP="003A0EF5">
      <w:pPr>
        <w:pStyle w:val="ListParagraph"/>
        <w:numPr>
          <w:ilvl w:val="0"/>
          <w:numId w:val="12"/>
        </w:numPr>
        <w:rPr>
          <w:rFonts w:cs="Arial"/>
        </w:rPr>
      </w:pPr>
      <w:r w:rsidRPr="006223B0">
        <w:rPr>
          <w:rFonts w:cs="Arial"/>
        </w:rPr>
        <w:t xml:space="preserve">The current approach operates independently of welfare reforms and is blind to the risks they pose to affordability to tenants and the collectability of rent. In practice, its inflexibility means that housing associations are limited in their ability to respond to mitigate these risks. </w:t>
      </w:r>
    </w:p>
    <w:p w:rsidR="003A0EF5" w:rsidRPr="006223B0" w:rsidRDefault="003A0EF5" w:rsidP="003A0EF5">
      <w:pPr>
        <w:pStyle w:val="ListParagraph"/>
        <w:rPr>
          <w:rFonts w:cs="Arial"/>
        </w:rPr>
      </w:pPr>
    </w:p>
    <w:p w:rsidR="003A0EF5" w:rsidRPr="006223B0" w:rsidRDefault="00912AA9" w:rsidP="003A0EF5">
      <w:pPr>
        <w:pStyle w:val="ListParagraph"/>
        <w:numPr>
          <w:ilvl w:val="0"/>
          <w:numId w:val="12"/>
        </w:numPr>
        <w:rPr>
          <w:rFonts w:cs="Arial"/>
        </w:rPr>
      </w:pPr>
      <w:r w:rsidRPr="006223B0">
        <w:rPr>
          <w:rFonts w:cs="Arial"/>
        </w:rPr>
        <w:t xml:space="preserve">The current regime is overly complex resulting in limited transparency and accountability. </w:t>
      </w:r>
      <w:r w:rsidR="003A0EF5" w:rsidRPr="006223B0">
        <w:rPr>
          <w:rFonts w:cs="Arial"/>
        </w:rPr>
        <w:t xml:space="preserve">The policy includes several elements of detailed data; average weekly rents, locational indices and SAP ratings. The formulaic approach employed is contradicted to some degree by the dampening </w:t>
      </w:r>
      <w:proofErr w:type="gramStart"/>
      <w:r w:rsidR="003A0EF5" w:rsidRPr="006223B0">
        <w:rPr>
          <w:rFonts w:cs="Arial"/>
        </w:rPr>
        <w:t>effect which</w:t>
      </w:r>
      <w:proofErr w:type="gramEnd"/>
      <w:r w:rsidR="003A0EF5" w:rsidRPr="006223B0">
        <w:rPr>
          <w:rFonts w:cs="Arial"/>
        </w:rPr>
        <w:t xml:space="preserve"> limits flexibility for the organisation to respond to immediate changes. </w:t>
      </w:r>
      <w:proofErr w:type="gramStart"/>
      <w:r w:rsidR="003A0EF5" w:rsidRPr="006223B0">
        <w:rPr>
          <w:rFonts w:cs="Arial"/>
        </w:rPr>
        <w:t>Overall</w:t>
      </w:r>
      <w:proofErr w:type="gramEnd"/>
      <w:r w:rsidR="003A0EF5" w:rsidRPr="006223B0">
        <w:rPr>
          <w:rFonts w:cs="Arial"/>
        </w:rPr>
        <w:t xml:space="preserve"> the current system represents a complicated approach to explain to tenants.</w:t>
      </w:r>
    </w:p>
    <w:p w:rsidR="003A0EF5" w:rsidRPr="006223B0" w:rsidRDefault="003A0EF5" w:rsidP="003A0EF5">
      <w:pPr>
        <w:pStyle w:val="ListParagraph"/>
        <w:rPr>
          <w:rFonts w:cs="Arial"/>
        </w:rPr>
      </w:pPr>
    </w:p>
    <w:p w:rsidR="003A0EF5" w:rsidRPr="00983179" w:rsidRDefault="00912AA9" w:rsidP="003A0EF5">
      <w:pPr>
        <w:pStyle w:val="ListParagraph"/>
        <w:numPr>
          <w:ilvl w:val="0"/>
          <w:numId w:val="12"/>
        </w:numPr>
        <w:rPr>
          <w:rFonts w:cs="Arial"/>
        </w:rPr>
      </w:pPr>
      <w:r w:rsidRPr="006223B0">
        <w:rPr>
          <w:rFonts w:cs="Arial"/>
        </w:rPr>
        <w:t xml:space="preserve">The current regime is redistributive. </w:t>
      </w:r>
      <w:r w:rsidR="003A0EF5" w:rsidRPr="006223B0">
        <w:rPr>
          <w:rFonts w:cs="Arial"/>
          <w:sz w:val="23"/>
          <w:szCs w:val="23"/>
        </w:rPr>
        <w:t xml:space="preserve">The current policy seeks the equitable distribution of income across the whole of Wales.  However, the redistributive effect of the policy can result in an economic downturn in one area resulting in an increase of target rent in another. </w:t>
      </w:r>
    </w:p>
    <w:p w:rsidR="00983179" w:rsidRPr="00983179" w:rsidRDefault="00983179" w:rsidP="00983179">
      <w:pPr>
        <w:pStyle w:val="ListParagraph"/>
        <w:rPr>
          <w:rFonts w:cs="Arial"/>
        </w:rPr>
      </w:pPr>
    </w:p>
    <w:p w:rsidR="00983179" w:rsidRPr="006223B0" w:rsidRDefault="00983179" w:rsidP="00983179">
      <w:pPr>
        <w:pStyle w:val="ListParagraph"/>
        <w:ind w:left="360"/>
        <w:rPr>
          <w:rFonts w:cs="Arial"/>
        </w:rPr>
      </w:pPr>
    </w:p>
    <w:p w:rsidR="00300490" w:rsidRPr="006223B0" w:rsidRDefault="00300490" w:rsidP="003A0EF5">
      <w:pPr>
        <w:pStyle w:val="ListParagraph"/>
        <w:ind w:left="360"/>
        <w:rPr>
          <w:rFonts w:cs="Arial"/>
        </w:rPr>
      </w:pPr>
    </w:p>
    <w:p w:rsidR="00300490" w:rsidRPr="006223B0" w:rsidRDefault="00300490" w:rsidP="00912AA9">
      <w:pPr>
        <w:pStyle w:val="ListParagraph"/>
        <w:numPr>
          <w:ilvl w:val="0"/>
          <w:numId w:val="12"/>
        </w:numPr>
        <w:rPr>
          <w:rFonts w:cs="Arial"/>
        </w:rPr>
      </w:pPr>
      <w:r w:rsidRPr="006223B0">
        <w:t xml:space="preserve">Rent Policy largely encourages rent increases to the target rent levels </w:t>
      </w:r>
      <w:proofErr w:type="gramStart"/>
      <w:r w:rsidRPr="006223B0">
        <w:t>as a result</w:t>
      </w:r>
      <w:proofErr w:type="gramEnd"/>
      <w:r w:rsidRPr="006223B0">
        <w:t xml:space="preserve"> of the uncertainty created from having a policy that is confirmed on an annual basis. A longer </w:t>
      </w:r>
      <w:r w:rsidRPr="006223B0">
        <w:lastRenderedPageBreak/>
        <w:t xml:space="preserve">term and more flexible approach would support decision making that balances affordability for tenants with sustainability for the business. </w:t>
      </w:r>
    </w:p>
    <w:p w:rsidR="00300490" w:rsidRPr="006223B0" w:rsidRDefault="00300490" w:rsidP="005E591E">
      <w:pPr>
        <w:rPr>
          <w:rFonts w:ascii="Arial" w:hAnsi="Arial" w:cs="Arial"/>
        </w:rPr>
      </w:pPr>
      <w:r w:rsidRPr="006223B0">
        <w:rPr>
          <w:rFonts w:ascii="Arial" w:hAnsi="Arial" w:cs="Arial"/>
        </w:rPr>
        <w:t xml:space="preserve">Whilst it is of course technically possible to update and refine the existing policy the lack of flexibility within it means </w:t>
      </w:r>
      <w:proofErr w:type="gramStart"/>
      <w:r w:rsidRPr="006223B0">
        <w:rPr>
          <w:rFonts w:ascii="Arial" w:hAnsi="Arial" w:cs="Arial"/>
        </w:rPr>
        <w:t>that</w:t>
      </w:r>
      <w:proofErr w:type="gramEnd"/>
      <w:r w:rsidRPr="006223B0">
        <w:rPr>
          <w:rFonts w:ascii="Arial" w:hAnsi="Arial" w:cs="Arial"/>
        </w:rPr>
        <w:t xml:space="preserve"> the policy is not sustainable over the long term. We propose that Welsh Government fundamentally review the purpose and approach that they take to rent setting. </w:t>
      </w:r>
      <w:r w:rsidR="00983179">
        <w:rPr>
          <w:rFonts w:ascii="Arial" w:hAnsi="Arial" w:cs="Arial"/>
        </w:rPr>
        <w:br/>
      </w:r>
    </w:p>
    <w:p w:rsidR="00912AA9" w:rsidRPr="006223B0" w:rsidRDefault="001C2973" w:rsidP="001C2973">
      <w:pPr>
        <w:pStyle w:val="ListParagraph"/>
        <w:numPr>
          <w:ilvl w:val="0"/>
          <w:numId w:val="13"/>
        </w:numPr>
        <w:rPr>
          <w:rFonts w:cs="Arial"/>
          <w:b/>
          <w:u w:val="single"/>
        </w:rPr>
      </w:pPr>
      <w:r w:rsidRPr="006223B0">
        <w:rPr>
          <w:rFonts w:cs="Arial"/>
          <w:b/>
          <w:u w:val="single"/>
        </w:rPr>
        <w:t xml:space="preserve">Flexibility for associations to set their own rent within a clear and accountable framework </w:t>
      </w:r>
    </w:p>
    <w:p w:rsidR="00EE2248" w:rsidRPr="006223B0" w:rsidRDefault="00EE2248" w:rsidP="00300490">
      <w:pPr>
        <w:rPr>
          <w:rFonts w:ascii="Arial" w:hAnsi="Arial" w:cs="Arial"/>
        </w:rPr>
      </w:pPr>
      <w:r w:rsidRPr="006223B0">
        <w:rPr>
          <w:rFonts w:ascii="Arial" w:hAnsi="Arial" w:cs="Arial"/>
        </w:rPr>
        <w:t xml:space="preserve">Housing associations should have the </w:t>
      </w:r>
      <w:r w:rsidR="00300490" w:rsidRPr="006223B0">
        <w:rPr>
          <w:rFonts w:ascii="Arial" w:hAnsi="Arial" w:cs="Arial"/>
        </w:rPr>
        <w:t>flexibility and f</w:t>
      </w:r>
      <w:r w:rsidRPr="006223B0">
        <w:rPr>
          <w:rFonts w:ascii="Arial" w:hAnsi="Arial" w:cs="Arial"/>
        </w:rPr>
        <w:t xml:space="preserve">reedom to set their own rents. </w:t>
      </w:r>
      <w:r w:rsidR="00300490" w:rsidRPr="006223B0">
        <w:rPr>
          <w:rFonts w:ascii="Arial" w:hAnsi="Arial" w:cs="Arial"/>
        </w:rPr>
        <w:t xml:space="preserve">This would allow housing associations to balance their business needs against the affordability of tenants and ensure that they have a steady and secure income stream. This would help increase their contribution, provide certainty for boards and lenders, and better enable them to address issues of quality, undersupply and affordability across all tenants and communities. </w:t>
      </w:r>
    </w:p>
    <w:p w:rsidR="00EE2248" w:rsidRPr="006223B0" w:rsidRDefault="00EE2248" w:rsidP="00300490">
      <w:pPr>
        <w:rPr>
          <w:rFonts w:ascii="Arial" w:hAnsi="Arial" w:cs="Arial"/>
          <w:u w:val="single"/>
        </w:rPr>
      </w:pPr>
      <w:r w:rsidRPr="006223B0">
        <w:rPr>
          <w:rFonts w:ascii="Arial" w:hAnsi="Arial" w:cs="Arial"/>
          <w:u w:val="single"/>
        </w:rPr>
        <w:t xml:space="preserve">How would it work? </w:t>
      </w:r>
    </w:p>
    <w:p w:rsidR="00EE2248" w:rsidRPr="006223B0" w:rsidRDefault="00525E1A" w:rsidP="00300490">
      <w:pPr>
        <w:rPr>
          <w:rFonts w:ascii="Arial" w:hAnsi="Arial" w:cs="Arial"/>
        </w:rPr>
      </w:pPr>
      <w:r w:rsidRPr="006223B0">
        <w:rPr>
          <w:rFonts w:ascii="Arial" w:hAnsi="Arial" w:cs="Arial"/>
          <w:b/>
        </w:rPr>
        <w:t xml:space="preserve">A </w:t>
      </w:r>
      <w:r w:rsidR="00047E95" w:rsidRPr="006223B0">
        <w:rPr>
          <w:rFonts w:ascii="Arial" w:hAnsi="Arial" w:cs="Arial"/>
          <w:b/>
        </w:rPr>
        <w:t xml:space="preserve">sustainable and flexible </w:t>
      </w:r>
      <w:r w:rsidRPr="006223B0">
        <w:rPr>
          <w:rFonts w:ascii="Arial" w:hAnsi="Arial" w:cs="Arial"/>
          <w:b/>
        </w:rPr>
        <w:t xml:space="preserve">approach: </w:t>
      </w:r>
      <w:r w:rsidR="00EE2248" w:rsidRPr="006223B0">
        <w:rPr>
          <w:rFonts w:ascii="Arial" w:hAnsi="Arial" w:cs="Arial"/>
        </w:rPr>
        <w:t xml:space="preserve">Housing associations would set a local rent policy. The rent policy would be put in place over a longer term </w:t>
      </w:r>
      <w:proofErr w:type="gramStart"/>
      <w:r w:rsidR="00EE2248" w:rsidRPr="006223B0">
        <w:rPr>
          <w:rFonts w:ascii="Arial" w:hAnsi="Arial" w:cs="Arial"/>
        </w:rPr>
        <w:t>time period</w:t>
      </w:r>
      <w:proofErr w:type="gramEnd"/>
      <w:r w:rsidR="00EE2248" w:rsidRPr="006223B0">
        <w:rPr>
          <w:rFonts w:ascii="Arial" w:hAnsi="Arial" w:cs="Arial"/>
        </w:rPr>
        <w:t xml:space="preserve"> (the exact period at the discretion of the housing association) to support the delivery of the associations’ business plan and social goals. </w:t>
      </w:r>
    </w:p>
    <w:p w:rsidR="00EE2248" w:rsidRPr="006223B0" w:rsidRDefault="00525E1A" w:rsidP="00300490">
      <w:pPr>
        <w:rPr>
          <w:rFonts w:ascii="Arial" w:hAnsi="Arial" w:cs="Arial"/>
        </w:rPr>
      </w:pPr>
      <w:r w:rsidRPr="006223B0">
        <w:rPr>
          <w:rFonts w:ascii="Arial" w:hAnsi="Arial" w:cs="Arial"/>
          <w:b/>
        </w:rPr>
        <w:t xml:space="preserve">An open and transparent approach: </w:t>
      </w:r>
      <w:r w:rsidR="00EE2248" w:rsidRPr="006223B0">
        <w:rPr>
          <w:rFonts w:ascii="Arial" w:hAnsi="Arial" w:cs="Arial"/>
        </w:rPr>
        <w:t xml:space="preserve">In putting together a </w:t>
      </w:r>
      <w:proofErr w:type="gramStart"/>
      <w:r w:rsidR="00EE2248" w:rsidRPr="006223B0">
        <w:rPr>
          <w:rFonts w:ascii="Arial" w:hAnsi="Arial" w:cs="Arial"/>
        </w:rPr>
        <w:t>rent</w:t>
      </w:r>
      <w:proofErr w:type="gramEnd"/>
      <w:r w:rsidR="00EE2248" w:rsidRPr="006223B0">
        <w:rPr>
          <w:rFonts w:ascii="Arial" w:hAnsi="Arial" w:cs="Arial"/>
        </w:rPr>
        <w:t xml:space="preserve"> policy associations would demonstrate:</w:t>
      </w:r>
    </w:p>
    <w:p w:rsidR="00EE2248" w:rsidRPr="006223B0" w:rsidRDefault="00EE2248" w:rsidP="00EE2248">
      <w:pPr>
        <w:pStyle w:val="ListParagraph"/>
        <w:numPr>
          <w:ilvl w:val="0"/>
          <w:numId w:val="14"/>
        </w:numPr>
        <w:rPr>
          <w:rFonts w:cs="Arial"/>
        </w:rPr>
      </w:pPr>
      <w:r w:rsidRPr="006223B0">
        <w:rPr>
          <w:rFonts w:cs="Arial"/>
        </w:rPr>
        <w:t xml:space="preserve">How they have considered the affordability of tenants and the collectability of rents. </w:t>
      </w:r>
      <w:r w:rsidR="00525E1A" w:rsidRPr="006223B0">
        <w:rPr>
          <w:rFonts w:cs="Arial"/>
        </w:rPr>
        <w:t xml:space="preserve">It </w:t>
      </w:r>
      <w:proofErr w:type="gramStart"/>
      <w:r w:rsidR="00525E1A" w:rsidRPr="006223B0">
        <w:rPr>
          <w:rFonts w:cs="Arial"/>
        </w:rPr>
        <w:t>is proposed</w:t>
      </w:r>
      <w:proofErr w:type="gramEnd"/>
      <w:r w:rsidR="00525E1A" w:rsidRPr="006223B0">
        <w:rPr>
          <w:rFonts w:cs="Arial"/>
        </w:rPr>
        <w:t xml:space="preserve"> that to support housing associations that advice and signposting on defining affordability is developed by the sector. </w:t>
      </w:r>
    </w:p>
    <w:p w:rsidR="00EE2248" w:rsidRPr="006223B0" w:rsidRDefault="00EE2248" w:rsidP="00EE2248">
      <w:pPr>
        <w:pStyle w:val="ListParagraph"/>
        <w:numPr>
          <w:ilvl w:val="0"/>
          <w:numId w:val="14"/>
        </w:numPr>
        <w:rPr>
          <w:rFonts w:cs="Arial"/>
        </w:rPr>
      </w:pPr>
      <w:r w:rsidRPr="006223B0">
        <w:rPr>
          <w:rFonts w:cs="Arial"/>
        </w:rPr>
        <w:t xml:space="preserve">That they have stress tested the impact of changes to rent levels on the viability of the business. </w:t>
      </w:r>
    </w:p>
    <w:p w:rsidR="00EE2248" w:rsidRPr="006223B0" w:rsidRDefault="00EE2248" w:rsidP="00EE2248">
      <w:pPr>
        <w:pStyle w:val="ListParagraph"/>
        <w:numPr>
          <w:ilvl w:val="0"/>
          <w:numId w:val="14"/>
        </w:numPr>
        <w:rPr>
          <w:rFonts w:cs="Arial"/>
        </w:rPr>
      </w:pPr>
      <w:r w:rsidRPr="006223B0">
        <w:rPr>
          <w:rFonts w:cs="Arial"/>
        </w:rPr>
        <w:t xml:space="preserve">How they have </w:t>
      </w:r>
      <w:r w:rsidR="003A0EF5" w:rsidRPr="006223B0">
        <w:rPr>
          <w:rFonts w:cs="Arial"/>
        </w:rPr>
        <w:t>involved tenants in the development of their</w:t>
      </w:r>
      <w:r w:rsidRPr="006223B0">
        <w:rPr>
          <w:rFonts w:cs="Arial"/>
        </w:rPr>
        <w:t xml:space="preserve"> rent </w:t>
      </w:r>
      <w:r w:rsidR="00525E1A" w:rsidRPr="006223B0">
        <w:rPr>
          <w:rFonts w:cs="Arial"/>
        </w:rPr>
        <w:t xml:space="preserve">regime. </w:t>
      </w:r>
    </w:p>
    <w:p w:rsidR="00525E1A" w:rsidRPr="006223B0" w:rsidRDefault="00525E1A" w:rsidP="00525E1A">
      <w:pPr>
        <w:rPr>
          <w:rFonts w:ascii="Arial" w:hAnsi="Arial" w:cs="Arial"/>
        </w:rPr>
      </w:pPr>
      <w:r w:rsidRPr="006223B0">
        <w:rPr>
          <w:rFonts w:ascii="Arial" w:hAnsi="Arial" w:cs="Arial"/>
        </w:rPr>
        <w:t xml:space="preserve">Welsh Government should publish an annual reporting of increases/decreases in the rents of all housing associations on an annual basis, as is the case in Scotland. </w:t>
      </w:r>
    </w:p>
    <w:p w:rsidR="00525E1A" w:rsidRPr="006223B0" w:rsidRDefault="00525E1A" w:rsidP="00EE2248">
      <w:pPr>
        <w:rPr>
          <w:rFonts w:ascii="Arial" w:hAnsi="Arial" w:cs="Arial"/>
        </w:rPr>
      </w:pPr>
      <w:r w:rsidRPr="006223B0">
        <w:rPr>
          <w:rFonts w:ascii="Arial" w:hAnsi="Arial" w:cs="Arial"/>
          <w:b/>
        </w:rPr>
        <w:t>An accountable approach:</w:t>
      </w:r>
      <w:r w:rsidRPr="006223B0">
        <w:rPr>
          <w:rFonts w:ascii="Arial" w:hAnsi="Arial" w:cs="Arial"/>
        </w:rPr>
        <w:t xml:space="preserve"> Boards would be responsible for setting rent policy with housing associations and the regulatory framework, with its strong focus on strong governance would support and challenge the effectiveness of this. </w:t>
      </w:r>
    </w:p>
    <w:p w:rsidR="00983179" w:rsidRDefault="00983179" w:rsidP="00EE2248">
      <w:pPr>
        <w:rPr>
          <w:rFonts w:ascii="Arial" w:hAnsi="Arial" w:cs="Arial"/>
        </w:rPr>
      </w:pPr>
    </w:p>
    <w:p w:rsidR="00983179" w:rsidRDefault="00983179" w:rsidP="00EE2248">
      <w:pPr>
        <w:rPr>
          <w:rFonts w:ascii="Arial" w:hAnsi="Arial" w:cs="Arial"/>
        </w:rPr>
      </w:pPr>
    </w:p>
    <w:p w:rsidR="00525E1A" w:rsidRPr="006223B0" w:rsidRDefault="00EE2248" w:rsidP="00EE2248">
      <w:pPr>
        <w:rPr>
          <w:rFonts w:ascii="Arial" w:hAnsi="Arial" w:cs="Arial"/>
        </w:rPr>
      </w:pPr>
      <w:r w:rsidRPr="006223B0">
        <w:rPr>
          <w:rFonts w:ascii="Arial" w:hAnsi="Arial" w:cs="Arial"/>
        </w:rPr>
        <w:t xml:space="preserve">Rent flexibility </w:t>
      </w:r>
      <w:r w:rsidR="00525E1A" w:rsidRPr="006223B0">
        <w:rPr>
          <w:rFonts w:ascii="Arial" w:hAnsi="Arial" w:cs="Arial"/>
        </w:rPr>
        <w:t xml:space="preserve">would also operate within parameters set by a new performance standard within the </w:t>
      </w:r>
      <w:r w:rsidRPr="006223B0">
        <w:rPr>
          <w:rFonts w:ascii="Arial" w:hAnsi="Arial" w:cs="Arial"/>
        </w:rPr>
        <w:t>Welsh Government Regulatory Framework for Housing Associations Registered in Wales</w:t>
      </w:r>
      <w:r w:rsidR="00525E1A" w:rsidRPr="006223B0">
        <w:rPr>
          <w:rFonts w:ascii="Arial" w:hAnsi="Arial" w:cs="Arial"/>
        </w:rPr>
        <w:t xml:space="preserve">. This should </w:t>
      </w:r>
      <w:r w:rsidRPr="006223B0">
        <w:rPr>
          <w:rFonts w:ascii="Arial" w:hAnsi="Arial" w:cs="Arial"/>
        </w:rPr>
        <w:t xml:space="preserve">include a requirement for housing associations to evidence how they have demonstrated affordability and transparency and stress-tested their rent setting approach. </w:t>
      </w:r>
    </w:p>
    <w:p w:rsidR="00525E1A" w:rsidRPr="006223B0" w:rsidRDefault="00525E1A" w:rsidP="00525E1A">
      <w:pPr>
        <w:rPr>
          <w:rFonts w:ascii="Arial" w:hAnsi="Arial" w:cs="Arial"/>
        </w:rPr>
      </w:pPr>
      <w:r w:rsidRPr="006223B0">
        <w:rPr>
          <w:rFonts w:ascii="Arial" w:hAnsi="Arial" w:cs="Arial"/>
        </w:rPr>
        <w:t xml:space="preserve">Any divergence from the rent policy set out would require housing associations to consult with tenants fully on the impact of the changes. </w:t>
      </w:r>
    </w:p>
    <w:p w:rsidR="00300490" w:rsidRPr="006223B0" w:rsidRDefault="00047E95" w:rsidP="00EE2248">
      <w:pPr>
        <w:rPr>
          <w:rFonts w:ascii="Arial" w:hAnsi="Arial" w:cs="Arial"/>
          <w:b/>
        </w:rPr>
      </w:pPr>
      <w:r w:rsidRPr="006223B0">
        <w:rPr>
          <w:rFonts w:ascii="Arial" w:hAnsi="Arial" w:cs="Arial"/>
          <w:b/>
        </w:rPr>
        <w:t xml:space="preserve">A fair approach: </w:t>
      </w:r>
      <w:r w:rsidRPr="006223B0">
        <w:rPr>
          <w:rFonts w:ascii="Arial" w:hAnsi="Arial" w:cs="Arial"/>
        </w:rPr>
        <w:t>W</w:t>
      </w:r>
      <w:r w:rsidR="00300490" w:rsidRPr="006223B0">
        <w:rPr>
          <w:rFonts w:ascii="Arial" w:hAnsi="Arial" w:cs="Arial"/>
        </w:rPr>
        <w:t>ith full rent flexibility, housing associations would be fr</w:t>
      </w:r>
      <w:r w:rsidRPr="006223B0">
        <w:rPr>
          <w:rFonts w:ascii="Arial" w:hAnsi="Arial" w:cs="Arial"/>
        </w:rPr>
        <w:t xml:space="preserve">ee to adjust rents to </w:t>
      </w:r>
      <w:r w:rsidR="00300490" w:rsidRPr="006223B0">
        <w:rPr>
          <w:rFonts w:ascii="Arial" w:hAnsi="Arial" w:cs="Arial"/>
        </w:rPr>
        <w:t>reflect local market conditions</w:t>
      </w:r>
      <w:r w:rsidRPr="006223B0">
        <w:rPr>
          <w:rFonts w:ascii="Arial" w:hAnsi="Arial" w:cs="Arial"/>
        </w:rPr>
        <w:t xml:space="preserve"> and need</w:t>
      </w:r>
      <w:r w:rsidR="00300490" w:rsidRPr="006223B0">
        <w:rPr>
          <w:rFonts w:ascii="Arial" w:hAnsi="Arial" w:cs="Arial"/>
        </w:rPr>
        <w:t xml:space="preserve">. This would allow subsidy to </w:t>
      </w:r>
      <w:proofErr w:type="gramStart"/>
      <w:r w:rsidR="00300490" w:rsidRPr="006223B0">
        <w:rPr>
          <w:rFonts w:ascii="Arial" w:hAnsi="Arial" w:cs="Arial"/>
        </w:rPr>
        <w:t>be focussed</w:t>
      </w:r>
      <w:proofErr w:type="gramEnd"/>
      <w:r w:rsidR="00300490" w:rsidRPr="006223B0">
        <w:rPr>
          <w:rFonts w:ascii="Arial" w:hAnsi="Arial" w:cs="Arial"/>
        </w:rPr>
        <w:t xml:space="preserve"> on the tenants and communities that need it the most. For example, a housing association could set lower local rents </w:t>
      </w:r>
      <w:r w:rsidRPr="006223B0">
        <w:rPr>
          <w:rFonts w:ascii="Arial" w:hAnsi="Arial" w:cs="Arial"/>
        </w:rPr>
        <w:t xml:space="preserve">in areas where the LHA cap is low to support tenants, alleviate poverty and </w:t>
      </w:r>
      <w:r w:rsidR="00300490" w:rsidRPr="006223B0">
        <w:rPr>
          <w:rFonts w:ascii="Arial" w:hAnsi="Arial" w:cs="Arial"/>
        </w:rPr>
        <w:t>escape welfare dependency</w:t>
      </w:r>
      <w:r w:rsidRPr="006223B0">
        <w:rPr>
          <w:rFonts w:ascii="Arial" w:hAnsi="Arial" w:cs="Arial"/>
        </w:rPr>
        <w:t xml:space="preserve">. </w:t>
      </w:r>
      <w:r w:rsidR="00300490" w:rsidRPr="006223B0">
        <w:rPr>
          <w:rFonts w:ascii="Arial" w:hAnsi="Arial" w:cs="Arial"/>
        </w:rPr>
        <w:t xml:space="preserve">This would enable housing associations to offer a wide range of rents that meet local housing need, respond to different housing markets, considers the type and quality of the property and reflects the changing requirements of communities. </w:t>
      </w:r>
    </w:p>
    <w:p w:rsidR="00047E95" w:rsidRPr="006223B0" w:rsidRDefault="00047E95" w:rsidP="00047E95">
      <w:pPr>
        <w:rPr>
          <w:rFonts w:ascii="Arial" w:hAnsi="Arial" w:cs="Arial"/>
        </w:rPr>
      </w:pPr>
      <w:r w:rsidRPr="006223B0">
        <w:rPr>
          <w:rFonts w:ascii="Arial" w:hAnsi="Arial" w:cs="Arial"/>
        </w:rPr>
        <w:t>H</w:t>
      </w:r>
      <w:r w:rsidR="00300490" w:rsidRPr="006223B0">
        <w:rPr>
          <w:rFonts w:ascii="Arial" w:hAnsi="Arial" w:cs="Arial"/>
        </w:rPr>
        <w:t>ousing associations, as socially responsible charitable businesses</w:t>
      </w:r>
      <w:r w:rsidRPr="006223B0">
        <w:rPr>
          <w:rFonts w:ascii="Arial" w:hAnsi="Arial" w:cs="Arial"/>
        </w:rPr>
        <w:t xml:space="preserve"> are committed to providing affordable housing. It is contrary to their core purpose </w:t>
      </w:r>
      <w:r w:rsidR="00300490" w:rsidRPr="006223B0">
        <w:rPr>
          <w:rFonts w:ascii="Arial" w:hAnsi="Arial" w:cs="Arial"/>
        </w:rPr>
        <w:t>to set rents at a level that a</w:t>
      </w:r>
      <w:r w:rsidRPr="006223B0">
        <w:rPr>
          <w:rFonts w:ascii="Arial" w:hAnsi="Arial" w:cs="Arial"/>
        </w:rPr>
        <w:t>re unaffordable to tenants. For example, in Scotland, where rent flexibility exists  this approach has not lead to significant increases in rent levels across the sector, on the contrary, average planned rent increases have decreased in recent years.</w:t>
      </w:r>
      <w:r w:rsidRPr="006223B0">
        <w:rPr>
          <w:rStyle w:val="FootnoteReference"/>
          <w:rFonts w:ascii="Arial" w:hAnsi="Arial" w:cs="Arial"/>
        </w:rPr>
        <w:footnoteReference w:id="1"/>
      </w:r>
    </w:p>
    <w:p w:rsidR="001166E8" w:rsidRDefault="001166E8" w:rsidP="00047E95">
      <w:pPr>
        <w:rPr>
          <w:rFonts w:ascii="Arial" w:hAnsi="Arial" w:cs="Arial"/>
        </w:rPr>
      </w:pPr>
      <w:r w:rsidRPr="006223B0">
        <w:rPr>
          <w:rFonts w:ascii="Arial" w:hAnsi="Arial" w:cs="Arial"/>
          <w:b/>
        </w:rPr>
        <w:t>An affordable approach:</w:t>
      </w:r>
      <w:r w:rsidRPr="006223B0">
        <w:rPr>
          <w:rFonts w:ascii="Arial" w:hAnsi="Arial" w:cs="Arial"/>
        </w:rPr>
        <w:t xml:space="preserve"> Ensuring the continued and </w:t>
      </w:r>
      <w:proofErr w:type="gramStart"/>
      <w:r w:rsidRPr="006223B0">
        <w:rPr>
          <w:rFonts w:ascii="Arial" w:hAnsi="Arial" w:cs="Arial"/>
        </w:rPr>
        <w:t>long term</w:t>
      </w:r>
      <w:proofErr w:type="gramEnd"/>
      <w:r w:rsidRPr="006223B0">
        <w:rPr>
          <w:rFonts w:ascii="Arial" w:hAnsi="Arial" w:cs="Arial"/>
        </w:rPr>
        <w:t xml:space="preserve"> affordability of housing association homes for tenants has been at the heart of discussions about rent setting across the housing association sector. There are a number of models that </w:t>
      </w:r>
      <w:proofErr w:type="gramStart"/>
      <w:r w:rsidRPr="006223B0">
        <w:rPr>
          <w:rFonts w:ascii="Arial" w:hAnsi="Arial" w:cs="Arial"/>
        </w:rPr>
        <w:t>may be employed</w:t>
      </w:r>
      <w:proofErr w:type="gramEnd"/>
      <w:r w:rsidRPr="006223B0">
        <w:rPr>
          <w:rFonts w:ascii="Arial" w:hAnsi="Arial" w:cs="Arial"/>
        </w:rPr>
        <w:t xml:space="preserve"> by associations to achieve this. We propose to work with the sector to develop a series of options that </w:t>
      </w:r>
      <w:proofErr w:type="gramStart"/>
      <w:r w:rsidRPr="006223B0">
        <w:rPr>
          <w:rFonts w:ascii="Arial" w:hAnsi="Arial" w:cs="Arial"/>
        </w:rPr>
        <w:t>may be used</w:t>
      </w:r>
      <w:proofErr w:type="gramEnd"/>
      <w:r w:rsidRPr="006223B0">
        <w:rPr>
          <w:rFonts w:ascii="Arial" w:hAnsi="Arial" w:cs="Arial"/>
        </w:rPr>
        <w:t xml:space="preserve"> by associations when setting their rent policies. </w:t>
      </w:r>
    </w:p>
    <w:p w:rsidR="00983179" w:rsidRPr="006223B0" w:rsidRDefault="00983179" w:rsidP="00047E95"/>
    <w:p w:rsidR="00300490" w:rsidRPr="006223B0" w:rsidRDefault="00047E95" w:rsidP="00047E95">
      <w:pPr>
        <w:pStyle w:val="ListParagraph"/>
        <w:numPr>
          <w:ilvl w:val="0"/>
          <w:numId w:val="13"/>
        </w:numPr>
        <w:rPr>
          <w:rFonts w:cs="Arial"/>
          <w:b/>
          <w:u w:val="single"/>
        </w:rPr>
      </w:pPr>
      <w:r w:rsidRPr="006223B0">
        <w:rPr>
          <w:rFonts w:cs="Arial"/>
          <w:b/>
          <w:u w:val="single"/>
        </w:rPr>
        <w:t xml:space="preserve">Next steps </w:t>
      </w:r>
    </w:p>
    <w:p w:rsidR="001166E8" w:rsidRPr="006223B0" w:rsidRDefault="001166E8" w:rsidP="001166E8">
      <w:pPr>
        <w:pStyle w:val="ListParagraph"/>
        <w:rPr>
          <w:rFonts w:cs="Arial"/>
          <w:b/>
          <w:u w:val="single"/>
        </w:rPr>
      </w:pPr>
    </w:p>
    <w:p w:rsidR="00AA7313" w:rsidRDefault="00AA7313" w:rsidP="001166E8">
      <w:pPr>
        <w:pStyle w:val="ListParagraph"/>
        <w:numPr>
          <w:ilvl w:val="0"/>
          <w:numId w:val="16"/>
        </w:numPr>
        <w:rPr>
          <w:rFonts w:cs="Arial"/>
        </w:rPr>
      </w:pPr>
      <w:r>
        <w:rPr>
          <w:rFonts w:cs="Arial"/>
        </w:rPr>
        <w:t xml:space="preserve">Discussions with Welsh Government officials and the rent review team regarding the current system and options for the future. </w:t>
      </w:r>
    </w:p>
    <w:p w:rsidR="007E54A8" w:rsidRDefault="00AA7313" w:rsidP="001166E8">
      <w:pPr>
        <w:pStyle w:val="ListParagraph"/>
        <w:numPr>
          <w:ilvl w:val="0"/>
          <w:numId w:val="16"/>
        </w:numPr>
        <w:rPr>
          <w:rFonts w:cs="Arial"/>
        </w:rPr>
      </w:pPr>
      <w:r>
        <w:rPr>
          <w:rFonts w:cs="Arial"/>
        </w:rPr>
        <w:t xml:space="preserve">Discussions with Welsh Government regarding timescales for the implementation of a new approach. Should a new system not be feasible by 18/19 </w:t>
      </w:r>
      <w:proofErr w:type="gramStart"/>
      <w:r>
        <w:rPr>
          <w:rFonts w:cs="Arial"/>
        </w:rPr>
        <w:t>HAs</w:t>
      </w:r>
      <w:proofErr w:type="gramEnd"/>
      <w:r>
        <w:rPr>
          <w:rFonts w:cs="Arial"/>
        </w:rPr>
        <w:t xml:space="preserve"> need early certainty over the rent settlement </w:t>
      </w:r>
      <w:r w:rsidR="007E54A8" w:rsidRPr="006223B0">
        <w:rPr>
          <w:rFonts w:cs="Arial"/>
        </w:rPr>
        <w:t xml:space="preserve">for 18/19 whilst discussions over the </w:t>
      </w:r>
      <w:r>
        <w:rPr>
          <w:rFonts w:cs="Arial"/>
        </w:rPr>
        <w:t xml:space="preserve">long term approach are ongoing. </w:t>
      </w:r>
    </w:p>
    <w:p w:rsidR="00983179" w:rsidRDefault="00983179" w:rsidP="00983179">
      <w:pPr>
        <w:pStyle w:val="ListParagraph"/>
        <w:rPr>
          <w:rFonts w:cs="Arial"/>
        </w:rPr>
      </w:pPr>
    </w:p>
    <w:p w:rsidR="00983179" w:rsidRDefault="00983179" w:rsidP="001166E8">
      <w:pPr>
        <w:pStyle w:val="ListParagraph"/>
        <w:numPr>
          <w:ilvl w:val="0"/>
          <w:numId w:val="16"/>
        </w:numPr>
        <w:rPr>
          <w:rFonts w:cs="Arial"/>
        </w:rPr>
      </w:pPr>
    </w:p>
    <w:p w:rsidR="00983179" w:rsidRPr="00983179" w:rsidRDefault="00983179" w:rsidP="00983179">
      <w:pPr>
        <w:pStyle w:val="ListParagraph"/>
        <w:rPr>
          <w:rFonts w:cs="Arial"/>
        </w:rPr>
      </w:pPr>
    </w:p>
    <w:p w:rsidR="001166E8" w:rsidRPr="006223B0" w:rsidRDefault="001166E8" w:rsidP="001166E8">
      <w:pPr>
        <w:pStyle w:val="ListParagraph"/>
        <w:numPr>
          <w:ilvl w:val="0"/>
          <w:numId w:val="16"/>
        </w:numPr>
        <w:rPr>
          <w:rFonts w:cs="Arial"/>
        </w:rPr>
      </w:pPr>
      <w:bookmarkStart w:id="0" w:name="_GoBack"/>
      <w:bookmarkEnd w:id="0"/>
      <w:r w:rsidRPr="006223B0">
        <w:rPr>
          <w:rFonts w:cs="Arial"/>
        </w:rPr>
        <w:t xml:space="preserve">CHC will be seeking volunteers to participate in a workshop to discuss options to ensure the continued and </w:t>
      </w:r>
      <w:proofErr w:type="gramStart"/>
      <w:r w:rsidRPr="006223B0">
        <w:rPr>
          <w:rFonts w:cs="Arial"/>
        </w:rPr>
        <w:t>long term</w:t>
      </w:r>
      <w:proofErr w:type="gramEnd"/>
      <w:r w:rsidRPr="006223B0">
        <w:rPr>
          <w:rFonts w:cs="Arial"/>
        </w:rPr>
        <w:t xml:space="preserve"> affordability of rents within a flexible model. </w:t>
      </w:r>
    </w:p>
    <w:p w:rsidR="007E54A8" w:rsidRPr="006223B0" w:rsidRDefault="007E54A8" w:rsidP="007E54A8">
      <w:pPr>
        <w:tabs>
          <w:tab w:val="left" w:pos="6390"/>
        </w:tabs>
        <w:rPr>
          <w:rFonts w:ascii="Arial" w:hAnsi="Arial" w:cs="Arial"/>
          <w:b/>
        </w:rPr>
      </w:pPr>
      <w:r w:rsidRPr="006223B0">
        <w:rPr>
          <w:rFonts w:ascii="Arial" w:hAnsi="Arial" w:cs="Arial"/>
          <w:b/>
        </w:rPr>
        <w:t xml:space="preserve">Contact: </w:t>
      </w:r>
    </w:p>
    <w:p w:rsidR="007E54A8" w:rsidRPr="006223B0" w:rsidRDefault="007E54A8" w:rsidP="005E591E">
      <w:pPr>
        <w:rPr>
          <w:rFonts w:ascii="Arial" w:hAnsi="Arial" w:cs="Arial"/>
        </w:rPr>
      </w:pPr>
      <w:r w:rsidRPr="006223B0">
        <w:rPr>
          <w:rFonts w:ascii="Arial" w:hAnsi="Arial" w:cs="Arial"/>
        </w:rPr>
        <w:t xml:space="preserve">Clarissa Corbisiero-Peters </w:t>
      </w:r>
      <w:r w:rsidRPr="006223B0">
        <w:rPr>
          <w:rFonts w:ascii="Arial" w:hAnsi="Arial" w:cs="Arial"/>
        </w:rPr>
        <w:tab/>
      </w:r>
      <w:r w:rsidRPr="006223B0">
        <w:rPr>
          <w:rFonts w:ascii="Arial" w:hAnsi="Arial" w:cs="Arial"/>
        </w:rPr>
        <w:tab/>
      </w:r>
      <w:r w:rsidRPr="006223B0">
        <w:rPr>
          <w:rFonts w:ascii="Arial" w:hAnsi="Arial" w:cs="Arial"/>
        </w:rPr>
        <w:tab/>
      </w:r>
      <w:r w:rsidRPr="006223B0">
        <w:rPr>
          <w:rFonts w:ascii="Arial" w:hAnsi="Arial" w:cs="Arial"/>
        </w:rPr>
        <w:tab/>
        <w:t>Steve Evans</w:t>
      </w:r>
    </w:p>
    <w:p w:rsidR="007E54A8" w:rsidRPr="006223B0" w:rsidRDefault="007E54A8" w:rsidP="005E591E">
      <w:pPr>
        <w:rPr>
          <w:rFonts w:ascii="Arial" w:hAnsi="Arial" w:cs="Arial"/>
        </w:rPr>
      </w:pPr>
      <w:r w:rsidRPr="006223B0">
        <w:rPr>
          <w:rFonts w:ascii="Arial" w:hAnsi="Arial" w:cs="Arial"/>
        </w:rPr>
        <w:t>Director of Policy/Deputy CEX</w:t>
      </w:r>
      <w:r w:rsidRPr="006223B0">
        <w:rPr>
          <w:rFonts w:ascii="Arial" w:hAnsi="Arial" w:cs="Arial"/>
        </w:rPr>
        <w:tab/>
      </w:r>
      <w:r w:rsidRPr="006223B0">
        <w:rPr>
          <w:rFonts w:ascii="Arial" w:hAnsi="Arial" w:cs="Arial"/>
        </w:rPr>
        <w:tab/>
      </w:r>
      <w:r w:rsidRPr="006223B0">
        <w:rPr>
          <w:rFonts w:ascii="Arial" w:hAnsi="Arial" w:cs="Arial"/>
        </w:rPr>
        <w:tab/>
        <w:t xml:space="preserve">Assistant Director of Finance </w:t>
      </w:r>
    </w:p>
    <w:p w:rsidR="007E54A8" w:rsidRPr="006223B0" w:rsidRDefault="00983179" w:rsidP="005E591E">
      <w:pPr>
        <w:rPr>
          <w:rFonts w:ascii="Arial" w:hAnsi="Arial" w:cs="Arial"/>
        </w:rPr>
      </w:pPr>
      <w:hyperlink r:id="rId8" w:history="1">
        <w:r w:rsidR="007E54A8" w:rsidRPr="006223B0">
          <w:rPr>
            <w:rStyle w:val="Hyperlink"/>
            <w:rFonts w:ascii="Arial" w:hAnsi="Arial" w:cs="Arial"/>
          </w:rPr>
          <w:t>Clarissa-corbisiero-peters@chcymru.org.uk</w:t>
        </w:r>
      </w:hyperlink>
      <w:r w:rsidR="007E54A8" w:rsidRPr="006223B0">
        <w:rPr>
          <w:rFonts w:ascii="Arial" w:hAnsi="Arial" w:cs="Arial"/>
        </w:rPr>
        <w:tab/>
      </w:r>
      <w:r w:rsidR="007E54A8" w:rsidRPr="006223B0">
        <w:rPr>
          <w:rFonts w:ascii="Arial" w:hAnsi="Arial" w:cs="Arial"/>
        </w:rPr>
        <w:tab/>
      </w:r>
      <w:hyperlink r:id="rId9" w:history="1">
        <w:r w:rsidR="007E54A8" w:rsidRPr="006223B0">
          <w:rPr>
            <w:rStyle w:val="Hyperlink"/>
            <w:rFonts w:ascii="Arial" w:hAnsi="Arial" w:cs="Arial"/>
          </w:rPr>
          <w:t>Steve.Evans@chcymru.org.uk</w:t>
        </w:r>
      </w:hyperlink>
      <w:r w:rsidR="007E54A8" w:rsidRPr="006223B0">
        <w:rPr>
          <w:rFonts w:ascii="Arial" w:hAnsi="Arial" w:cs="Arial"/>
        </w:rPr>
        <w:t xml:space="preserve"> </w:t>
      </w:r>
    </w:p>
    <w:p w:rsidR="0041113D" w:rsidRPr="0041113D" w:rsidRDefault="0041113D" w:rsidP="009A50B9">
      <w:pPr>
        <w:rPr>
          <w:rFonts w:ascii="Arial" w:hAnsi="Arial" w:cs="Arial"/>
          <w:b/>
        </w:rPr>
      </w:pPr>
    </w:p>
    <w:sectPr w:rsidR="0041113D" w:rsidRPr="0041113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01A" w:rsidRDefault="0094201A" w:rsidP="00164B6D">
      <w:pPr>
        <w:spacing w:after="0" w:line="240" w:lineRule="auto"/>
      </w:pPr>
      <w:r>
        <w:separator/>
      </w:r>
    </w:p>
  </w:endnote>
  <w:endnote w:type="continuationSeparator" w:id="0">
    <w:p w:rsidR="0094201A" w:rsidRDefault="0094201A" w:rsidP="0016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01A" w:rsidRDefault="0094201A" w:rsidP="00164B6D">
      <w:pPr>
        <w:spacing w:after="0" w:line="240" w:lineRule="auto"/>
      </w:pPr>
      <w:r>
        <w:separator/>
      </w:r>
    </w:p>
  </w:footnote>
  <w:footnote w:type="continuationSeparator" w:id="0">
    <w:p w:rsidR="0094201A" w:rsidRDefault="0094201A" w:rsidP="00164B6D">
      <w:pPr>
        <w:spacing w:after="0" w:line="240" w:lineRule="auto"/>
      </w:pPr>
      <w:r>
        <w:continuationSeparator/>
      </w:r>
    </w:p>
  </w:footnote>
  <w:footnote w:id="1">
    <w:p w:rsidR="0094201A" w:rsidRDefault="0094201A" w:rsidP="00047E95">
      <w:pPr>
        <w:pStyle w:val="FootnoteText"/>
      </w:pPr>
      <w:r>
        <w:rPr>
          <w:rStyle w:val="FootnoteReference"/>
        </w:rPr>
        <w:footnoteRef/>
      </w:r>
      <w:r>
        <w:t xml:space="preserve"> Scottish Housing regulator National report illustrating rent increases/decreases </w:t>
      </w:r>
      <w:hyperlink r:id="rId1" w:history="1">
        <w:r w:rsidRPr="0064517D">
          <w:rPr>
            <w:rStyle w:val="Hyperlink"/>
          </w:rPr>
          <w:t>https://www.scottishhousingregulator.gov.uk/sites/default/files/publications/National%20Report%200909016.pdf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1A" w:rsidRDefault="0094201A">
    <w:pPr>
      <w:pStyle w:val="Header"/>
    </w:pPr>
    <w:r w:rsidRPr="000078E9">
      <w:rPr>
        <w:noProof/>
        <w:lang w:eastAsia="en-GB"/>
      </w:rPr>
      <w:drawing>
        <wp:anchor distT="0" distB="0" distL="114300" distR="114300" simplePos="0" relativeHeight="251656704" behindDoc="0" locked="0" layoutInCell="1" allowOverlap="1" wp14:anchorId="7E4230DD" wp14:editId="4C598BF1">
          <wp:simplePos x="0" y="0"/>
          <wp:positionH relativeFrom="column">
            <wp:posOffset>4838700</wp:posOffset>
          </wp:positionH>
          <wp:positionV relativeFrom="paragraph">
            <wp:posOffset>73660</wp:posOffset>
          </wp:positionV>
          <wp:extent cx="1346835" cy="935990"/>
          <wp:effectExtent l="0" t="0" r="0" b="3810"/>
          <wp:wrapTight wrapText="bothSides">
            <wp:wrapPolygon edited="0">
              <wp:start x="0" y="0"/>
              <wp:lineTo x="0" y="21102"/>
              <wp:lineTo x="21182" y="21102"/>
              <wp:lineTo x="211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lement.png"/>
                  <pic:cNvPicPr/>
                </pic:nvPicPr>
                <pic:blipFill>
                  <a:blip r:embed="rId1">
                    <a:extLst>
                      <a:ext uri="{28A0092B-C50C-407E-A947-70E740481C1C}">
                        <a14:useLocalDpi xmlns:a14="http://schemas.microsoft.com/office/drawing/2010/main" val="0"/>
                      </a:ext>
                    </a:extLst>
                  </a:blip>
                  <a:stretch>
                    <a:fillRect/>
                  </a:stretch>
                </pic:blipFill>
                <pic:spPr>
                  <a:xfrm>
                    <a:off x="0" y="0"/>
                    <a:ext cx="1346835" cy="935990"/>
                  </a:xfrm>
                  <a:prstGeom prst="rect">
                    <a:avLst/>
                  </a:prstGeom>
                </pic:spPr>
              </pic:pic>
            </a:graphicData>
          </a:graphic>
          <wp14:sizeRelH relativeFrom="page">
            <wp14:pctWidth>0</wp14:pctWidth>
          </wp14:sizeRelH>
          <wp14:sizeRelV relativeFrom="page">
            <wp14:pctHeight>0</wp14:pctHeight>
          </wp14:sizeRelV>
        </wp:anchor>
      </w:drawing>
    </w:r>
    <w:r w:rsidRPr="000078E9">
      <w:rPr>
        <w:noProof/>
        <w:lang w:eastAsia="en-GB"/>
      </w:rPr>
      <w:drawing>
        <wp:anchor distT="0" distB="0" distL="114300" distR="114300" simplePos="0" relativeHeight="251657728" behindDoc="0" locked="0" layoutInCell="1" allowOverlap="1" wp14:anchorId="0143859C" wp14:editId="16696F0A">
          <wp:simplePos x="0" y="0"/>
          <wp:positionH relativeFrom="column">
            <wp:posOffset>-165100</wp:posOffset>
          </wp:positionH>
          <wp:positionV relativeFrom="paragraph">
            <wp:posOffset>167005</wp:posOffset>
          </wp:positionV>
          <wp:extent cx="1619885" cy="935355"/>
          <wp:effectExtent l="0" t="0" r="5715" b="4445"/>
          <wp:wrapTight wrapText="bothSides">
            <wp:wrapPolygon edited="0">
              <wp:start x="0" y="0"/>
              <wp:lineTo x="0" y="21116"/>
              <wp:lineTo x="21338" y="21116"/>
              <wp:lineTo x="213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ENG.png"/>
                  <pic:cNvPicPr/>
                </pic:nvPicPr>
                <pic:blipFill>
                  <a:blip r:embed="rId2">
                    <a:extLst>
                      <a:ext uri="{28A0092B-C50C-407E-A947-70E740481C1C}">
                        <a14:useLocalDpi xmlns:a14="http://schemas.microsoft.com/office/drawing/2010/main" val="0"/>
                      </a:ext>
                    </a:extLst>
                  </a:blip>
                  <a:stretch>
                    <a:fillRect/>
                  </a:stretch>
                </pic:blipFill>
                <pic:spPr>
                  <a:xfrm>
                    <a:off x="0" y="0"/>
                    <a:ext cx="1619885" cy="935355"/>
                  </a:xfrm>
                  <a:prstGeom prst="rect">
                    <a:avLst/>
                  </a:prstGeom>
                </pic:spPr>
              </pic:pic>
            </a:graphicData>
          </a:graphic>
          <wp14:sizeRelH relativeFrom="page">
            <wp14:pctWidth>0</wp14:pctWidth>
          </wp14:sizeRelH>
          <wp14:sizeRelV relativeFrom="page">
            <wp14:pctHeight>0</wp14:pctHeight>
          </wp14:sizeRelV>
        </wp:anchor>
      </w:drawing>
    </w:r>
  </w:p>
  <w:p w:rsidR="0094201A" w:rsidRDefault="0094201A">
    <w:pPr>
      <w:pStyle w:val="Header"/>
    </w:pPr>
  </w:p>
  <w:p w:rsidR="0094201A" w:rsidRDefault="0094201A">
    <w:pPr>
      <w:pStyle w:val="Header"/>
    </w:pPr>
  </w:p>
  <w:p w:rsidR="0094201A" w:rsidRDefault="0094201A">
    <w:pPr>
      <w:pStyle w:val="Header"/>
    </w:pPr>
  </w:p>
  <w:p w:rsidR="0094201A" w:rsidRDefault="0094201A">
    <w:pPr>
      <w:pStyle w:val="Header"/>
    </w:pPr>
  </w:p>
  <w:p w:rsidR="0094201A" w:rsidRDefault="00942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709"/>
    <w:multiLevelType w:val="hybridMultilevel"/>
    <w:tmpl w:val="A530B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30265"/>
    <w:multiLevelType w:val="hybridMultilevel"/>
    <w:tmpl w:val="092638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B7A3B"/>
    <w:multiLevelType w:val="hybridMultilevel"/>
    <w:tmpl w:val="1988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B0281"/>
    <w:multiLevelType w:val="hybridMultilevel"/>
    <w:tmpl w:val="BFB41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E64CDD"/>
    <w:multiLevelType w:val="hybridMultilevel"/>
    <w:tmpl w:val="1BA05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D2134B"/>
    <w:multiLevelType w:val="hybridMultilevel"/>
    <w:tmpl w:val="C54A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42D5F"/>
    <w:multiLevelType w:val="hybridMultilevel"/>
    <w:tmpl w:val="219CA7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553A1C"/>
    <w:multiLevelType w:val="hybridMultilevel"/>
    <w:tmpl w:val="FBEE6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E1598"/>
    <w:multiLevelType w:val="hybridMultilevel"/>
    <w:tmpl w:val="156AC928"/>
    <w:lvl w:ilvl="0" w:tplc="1EA050A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8659B7"/>
    <w:multiLevelType w:val="hybridMultilevel"/>
    <w:tmpl w:val="5566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C5786"/>
    <w:multiLevelType w:val="hybridMultilevel"/>
    <w:tmpl w:val="3E908890"/>
    <w:lvl w:ilvl="0" w:tplc="16262CA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679E2"/>
    <w:multiLevelType w:val="hybridMultilevel"/>
    <w:tmpl w:val="092638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A219B4"/>
    <w:multiLevelType w:val="hybridMultilevel"/>
    <w:tmpl w:val="8818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F07E47"/>
    <w:multiLevelType w:val="hybridMultilevel"/>
    <w:tmpl w:val="3E04A866"/>
    <w:lvl w:ilvl="0" w:tplc="1EA050A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25CF5"/>
    <w:multiLevelType w:val="hybridMultilevel"/>
    <w:tmpl w:val="E514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B56D15"/>
    <w:multiLevelType w:val="hybridMultilevel"/>
    <w:tmpl w:val="CF801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13"/>
  </w:num>
  <w:num w:numId="4">
    <w:abstractNumId w:val="8"/>
  </w:num>
  <w:num w:numId="5">
    <w:abstractNumId w:val="3"/>
  </w:num>
  <w:num w:numId="6">
    <w:abstractNumId w:val="6"/>
  </w:num>
  <w:num w:numId="7">
    <w:abstractNumId w:val="1"/>
  </w:num>
  <w:num w:numId="8">
    <w:abstractNumId w:val="10"/>
  </w:num>
  <w:num w:numId="9">
    <w:abstractNumId w:val="11"/>
  </w:num>
  <w:num w:numId="10">
    <w:abstractNumId w:val="2"/>
  </w:num>
  <w:num w:numId="11">
    <w:abstractNumId w:val="12"/>
  </w:num>
  <w:num w:numId="12">
    <w:abstractNumId w:val="15"/>
  </w:num>
  <w:num w:numId="13">
    <w:abstractNumId w:val="0"/>
  </w:num>
  <w:num w:numId="14">
    <w:abstractNumId w:val="14"/>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B6D"/>
    <w:rsid w:val="000020D0"/>
    <w:rsid w:val="00002325"/>
    <w:rsid w:val="000078E9"/>
    <w:rsid w:val="00011EB0"/>
    <w:rsid w:val="00020763"/>
    <w:rsid w:val="00023008"/>
    <w:rsid w:val="00024C81"/>
    <w:rsid w:val="00033AB5"/>
    <w:rsid w:val="00043855"/>
    <w:rsid w:val="00047E95"/>
    <w:rsid w:val="00052965"/>
    <w:rsid w:val="000557F7"/>
    <w:rsid w:val="000628AC"/>
    <w:rsid w:val="00081FA6"/>
    <w:rsid w:val="00085C00"/>
    <w:rsid w:val="0009485D"/>
    <w:rsid w:val="00094F76"/>
    <w:rsid w:val="00096D59"/>
    <w:rsid w:val="000B2093"/>
    <w:rsid w:val="000B2591"/>
    <w:rsid w:val="000B2C33"/>
    <w:rsid w:val="000B73B8"/>
    <w:rsid w:val="000C2BB6"/>
    <w:rsid w:val="000C5D52"/>
    <w:rsid w:val="000C67DA"/>
    <w:rsid w:val="000D28EE"/>
    <w:rsid w:val="000D6803"/>
    <w:rsid w:val="000E1E5A"/>
    <w:rsid w:val="000E55B2"/>
    <w:rsid w:val="000F669B"/>
    <w:rsid w:val="000F787B"/>
    <w:rsid w:val="00100BE8"/>
    <w:rsid w:val="00100F91"/>
    <w:rsid w:val="00107663"/>
    <w:rsid w:val="001166E8"/>
    <w:rsid w:val="00145513"/>
    <w:rsid w:val="001643F3"/>
    <w:rsid w:val="00164B6D"/>
    <w:rsid w:val="0017564C"/>
    <w:rsid w:val="001A27A9"/>
    <w:rsid w:val="001C0804"/>
    <w:rsid w:val="001C2973"/>
    <w:rsid w:val="001D0E59"/>
    <w:rsid w:val="001E36C0"/>
    <w:rsid w:val="001F5E02"/>
    <w:rsid w:val="00204559"/>
    <w:rsid w:val="00212883"/>
    <w:rsid w:val="00215D07"/>
    <w:rsid w:val="00230980"/>
    <w:rsid w:val="00241A01"/>
    <w:rsid w:val="00256488"/>
    <w:rsid w:val="00260D4A"/>
    <w:rsid w:val="00262F19"/>
    <w:rsid w:val="002847D0"/>
    <w:rsid w:val="0028631E"/>
    <w:rsid w:val="002D17BC"/>
    <w:rsid w:val="002E6AA8"/>
    <w:rsid w:val="00300490"/>
    <w:rsid w:val="00300DF6"/>
    <w:rsid w:val="00301B8A"/>
    <w:rsid w:val="003079D6"/>
    <w:rsid w:val="003112C0"/>
    <w:rsid w:val="00323664"/>
    <w:rsid w:val="00327C8F"/>
    <w:rsid w:val="0033590E"/>
    <w:rsid w:val="00347FD7"/>
    <w:rsid w:val="00366145"/>
    <w:rsid w:val="00372E96"/>
    <w:rsid w:val="0038674E"/>
    <w:rsid w:val="003A0451"/>
    <w:rsid w:val="003A0EF5"/>
    <w:rsid w:val="003A3246"/>
    <w:rsid w:val="003A3847"/>
    <w:rsid w:val="003B2F67"/>
    <w:rsid w:val="003D4121"/>
    <w:rsid w:val="003F0447"/>
    <w:rsid w:val="003F19DF"/>
    <w:rsid w:val="003F2A0C"/>
    <w:rsid w:val="003F3290"/>
    <w:rsid w:val="004025E7"/>
    <w:rsid w:val="0041113D"/>
    <w:rsid w:val="00413946"/>
    <w:rsid w:val="0041470A"/>
    <w:rsid w:val="00416346"/>
    <w:rsid w:val="004279FB"/>
    <w:rsid w:val="004336F9"/>
    <w:rsid w:val="00441143"/>
    <w:rsid w:val="00451F46"/>
    <w:rsid w:val="00467A61"/>
    <w:rsid w:val="004879A5"/>
    <w:rsid w:val="00490937"/>
    <w:rsid w:val="004B30A7"/>
    <w:rsid w:val="004D4FD3"/>
    <w:rsid w:val="004F2E5A"/>
    <w:rsid w:val="00512898"/>
    <w:rsid w:val="00517271"/>
    <w:rsid w:val="00525432"/>
    <w:rsid w:val="00525E1A"/>
    <w:rsid w:val="0053698B"/>
    <w:rsid w:val="00576191"/>
    <w:rsid w:val="00585127"/>
    <w:rsid w:val="00585C61"/>
    <w:rsid w:val="005877D7"/>
    <w:rsid w:val="00597FAF"/>
    <w:rsid w:val="005A593A"/>
    <w:rsid w:val="005A7627"/>
    <w:rsid w:val="005A7ECB"/>
    <w:rsid w:val="005B247C"/>
    <w:rsid w:val="005C3436"/>
    <w:rsid w:val="005C6981"/>
    <w:rsid w:val="005D0F83"/>
    <w:rsid w:val="005E167F"/>
    <w:rsid w:val="005E591E"/>
    <w:rsid w:val="005E6512"/>
    <w:rsid w:val="005F440B"/>
    <w:rsid w:val="00602742"/>
    <w:rsid w:val="0060488F"/>
    <w:rsid w:val="00621245"/>
    <w:rsid w:val="006223B0"/>
    <w:rsid w:val="00625A6B"/>
    <w:rsid w:val="00634724"/>
    <w:rsid w:val="006405A8"/>
    <w:rsid w:val="0065025C"/>
    <w:rsid w:val="00651484"/>
    <w:rsid w:val="00670034"/>
    <w:rsid w:val="006838F5"/>
    <w:rsid w:val="006B4A14"/>
    <w:rsid w:val="006D0FE1"/>
    <w:rsid w:val="006D7871"/>
    <w:rsid w:val="006E5B64"/>
    <w:rsid w:val="006F13DF"/>
    <w:rsid w:val="006F3FEE"/>
    <w:rsid w:val="006F7FC6"/>
    <w:rsid w:val="00705271"/>
    <w:rsid w:val="007062A4"/>
    <w:rsid w:val="00712916"/>
    <w:rsid w:val="00712990"/>
    <w:rsid w:val="0072177E"/>
    <w:rsid w:val="007316B0"/>
    <w:rsid w:val="007322FE"/>
    <w:rsid w:val="00745CC1"/>
    <w:rsid w:val="00747859"/>
    <w:rsid w:val="00751E33"/>
    <w:rsid w:val="00775455"/>
    <w:rsid w:val="007817AE"/>
    <w:rsid w:val="00782F08"/>
    <w:rsid w:val="00793590"/>
    <w:rsid w:val="007B78E3"/>
    <w:rsid w:val="007C04DF"/>
    <w:rsid w:val="007D3901"/>
    <w:rsid w:val="007E2FEF"/>
    <w:rsid w:val="007E467D"/>
    <w:rsid w:val="007E54A8"/>
    <w:rsid w:val="007E6665"/>
    <w:rsid w:val="007F01BB"/>
    <w:rsid w:val="0080614D"/>
    <w:rsid w:val="00813A5E"/>
    <w:rsid w:val="00821EFE"/>
    <w:rsid w:val="00827DF8"/>
    <w:rsid w:val="00835839"/>
    <w:rsid w:val="00840812"/>
    <w:rsid w:val="008956CD"/>
    <w:rsid w:val="00895DA1"/>
    <w:rsid w:val="008A155E"/>
    <w:rsid w:val="008D21BF"/>
    <w:rsid w:val="008D6FBE"/>
    <w:rsid w:val="008E2350"/>
    <w:rsid w:val="008F4E0B"/>
    <w:rsid w:val="00912AA9"/>
    <w:rsid w:val="00916C84"/>
    <w:rsid w:val="00923DC9"/>
    <w:rsid w:val="009310BC"/>
    <w:rsid w:val="00935E31"/>
    <w:rsid w:val="00937498"/>
    <w:rsid w:val="0094201A"/>
    <w:rsid w:val="00971470"/>
    <w:rsid w:val="00983179"/>
    <w:rsid w:val="00994D25"/>
    <w:rsid w:val="0099610B"/>
    <w:rsid w:val="009A50B9"/>
    <w:rsid w:val="009D485C"/>
    <w:rsid w:val="009F3DD9"/>
    <w:rsid w:val="00A01283"/>
    <w:rsid w:val="00A0245F"/>
    <w:rsid w:val="00A03A05"/>
    <w:rsid w:val="00A15420"/>
    <w:rsid w:val="00A219FB"/>
    <w:rsid w:val="00A329DC"/>
    <w:rsid w:val="00A33102"/>
    <w:rsid w:val="00A35F13"/>
    <w:rsid w:val="00A44422"/>
    <w:rsid w:val="00A52FBE"/>
    <w:rsid w:val="00A540A9"/>
    <w:rsid w:val="00A60561"/>
    <w:rsid w:val="00A65A8D"/>
    <w:rsid w:val="00A71C06"/>
    <w:rsid w:val="00A7344E"/>
    <w:rsid w:val="00A74398"/>
    <w:rsid w:val="00A77E18"/>
    <w:rsid w:val="00A85A37"/>
    <w:rsid w:val="00AA3690"/>
    <w:rsid w:val="00AA700A"/>
    <w:rsid w:val="00AA7313"/>
    <w:rsid w:val="00AB59EB"/>
    <w:rsid w:val="00AC24D3"/>
    <w:rsid w:val="00AC5389"/>
    <w:rsid w:val="00AD68AD"/>
    <w:rsid w:val="00AE6593"/>
    <w:rsid w:val="00AE6657"/>
    <w:rsid w:val="00B22264"/>
    <w:rsid w:val="00B27861"/>
    <w:rsid w:val="00B50437"/>
    <w:rsid w:val="00B724AB"/>
    <w:rsid w:val="00B729E3"/>
    <w:rsid w:val="00B8148B"/>
    <w:rsid w:val="00B85CD8"/>
    <w:rsid w:val="00B975A7"/>
    <w:rsid w:val="00BA281D"/>
    <w:rsid w:val="00BC595E"/>
    <w:rsid w:val="00BE344D"/>
    <w:rsid w:val="00BF3AEF"/>
    <w:rsid w:val="00BF60D5"/>
    <w:rsid w:val="00C0335C"/>
    <w:rsid w:val="00C060EA"/>
    <w:rsid w:val="00C13B39"/>
    <w:rsid w:val="00C23775"/>
    <w:rsid w:val="00C37497"/>
    <w:rsid w:val="00C4191C"/>
    <w:rsid w:val="00C42CAD"/>
    <w:rsid w:val="00C45F37"/>
    <w:rsid w:val="00C46CAB"/>
    <w:rsid w:val="00C610F9"/>
    <w:rsid w:val="00C623CD"/>
    <w:rsid w:val="00C77A16"/>
    <w:rsid w:val="00C869D2"/>
    <w:rsid w:val="00C87A4F"/>
    <w:rsid w:val="00C9544B"/>
    <w:rsid w:val="00C95C5B"/>
    <w:rsid w:val="00C9730F"/>
    <w:rsid w:val="00CA1243"/>
    <w:rsid w:val="00CB605C"/>
    <w:rsid w:val="00CB6620"/>
    <w:rsid w:val="00CC2333"/>
    <w:rsid w:val="00CD1753"/>
    <w:rsid w:val="00CD6236"/>
    <w:rsid w:val="00CD6AEF"/>
    <w:rsid w:val="00CE7D0B"/>
    <w:rsid w:val="00D00BD6"/>
    <w:rsid w:val="00D026E7"/>
    <w:rsid w:val="00D0502E"/>
    <w:rsid w:val="00D107F0"/>
    <w:rsid w:val="00D12008"/>
    <w:rsid w:val="00D17FD2"/>
    <w:rsid w:val="00D312D8"/>
    <w:rsid w:val="00D32EA3"/>
    <w:rsid w:val="00D7685F"/>
    <w:rsid w:val="00D80EC1"/>
    <w:rsid w:val="00D870B9"/>
    <w:rsid w:val="00DA2D0D"/>
    <w:rsid w:val="00DB352C"/>
    <w:rsid w:val="00DB56A5"/>
    <w:rsid w:val="00DB6913"/>
    <w:rsid w:val="00DC3FE9"/>
    <w:rsid w:val="00DC567E"/>
    <w:rsid w:val="00DD658A"/>
    <w:rsid w:val="00DD69BE"/>
    <w:rsid w:val="00DE316B"/>
    <w:rsid w:val="00DE76C1"/>
    <w:rsid w:val="00E15525"/>
    <w:rsid w:val="00E41405"/>
    <w:rsid w:val="00E53588"/>
    <w:rsid w:val="00E55286"/>
    <w:rsid w:val="00E86A1C"/>
    <w:rsid w:val="00E94E8B"/>
    <w:rsid w:val="00EA05F0"/>
    <w:rsid w:val="00EA36B8"/>
    <w:rsid w:val="00EA4E90"/>
    <w:rsid w:val="00EB7B90"/>
    <w:rsid w:val="00ED49FD"/>
    <w:rsid w:val="00ED528A"/>
    <w:rsid w:val="00EE2248"/>
    <w:rsid w:val="00EF1777"/>
    <w:rsid w:val="00EF1F65"/>
    <w:rsid w:val="00EF7983"/>
    <w:rsid w:val="00F16944"/>
    <w:rsid w:val="00F24007"/>
    <w:rsid w:val="00F2689C"/>
    <w:rsid w:val="00F27E7B"/>
    <w:rsid w:val="00F6632C"/>
    <w:rsid w:val="00F66EDA"/>
    <w:rsid w:val="00F704A4"/>
    <w:rsid w:val="00F70F80"/>
    <w:rsid w:val="00F7158C"/>
    <w:rsid w:val="00FA2D8F"/>
    <w:rsid w:val="00FA72CB"/>
    <w:rsid w:val="00FB1069"/>
    <w:rsid w:val="00FB1B73"/>
    <w:rsid w:val="00FB1FB1"/>
    <w:rsid w:val="00FD4387"/>
    <w:rsid w:val="00FF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4D820D"/>
  <w15:docId w15:val="{6D60C48B-B947-433B-9E7C-5C293C24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B6D"/>
  </w:style>
  <w:style w:type="paragraph" w:styleId="Footer">
    <w:name w:val="footer"/>
    <w:basedOn w:val="Normal"/>
    <w:link w:val="FooterChar"/>
    <w:uiPriority w:val="99"/>
    <w:unhideWhenUsed/>
    <w:rsid w:val="00164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B6D"/>
  </w:style>
  <w:style w:type="paragraph" w:styleId="FootnoteText">
    <w:name w:val="footnote text"/>
    <w:basedOn w:val="Normal"/>
    <w:link w:val="FootnoteTextChar"/>
    <w:uiPriority w:val="99"/>
    <w:semiHidden/>
    <w:unhideWhenUsed/>
    <w:rsid w:val="00A77E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E18"/>
    <w:rPr>
      <w:sz w:val="20"/>
      <w:szCs w:val="20"/>
    </w:rPr>
  </w:style>
  <w:style w:type="character" w:styleId="FootnoteReference">
    <w:name w:val="footnote reference"/>
    <w:basedOn w:val="DefaultParagraphFont"/>
    <w:uiPriority w:val="99"/>
    <w:semiHidden/>
    <w:unhideWhenUsed/>
    <w:rsid w:val="00A77E18"/>
    <w:rPr>
      <w:vertAlign w:val="superscript"/>
    </w:rPr>
  </w:style>
  <w:style w:type="character" w:styleId="Hyperlink">
    <w:name w:val="Hyperlink"/>
    <w:basedOn w:val="DefaultParagraphFont"/>
    <w:uiPriority w:val="99"/>
    <w:unhideWhenUsed/>
    <w:rsid w:val="00A77E18"/>
    <w:rPr>
      <w:color w:val="0000FF" w:themeColor="hyperlink"/>
      <w:u w:val="single"/>
    </w:rPr>
  </w:style>
  <w:style w:type="character" w:styleId="CommentReference">
    <w:name w:val="annotation reference"/>
    <w:basedOn w:val="DefaultParagraphFont"/>
    <w:uiPriority w:val="99"/>
    <w:semiHidden/>
    <w:unhideWhenUsed/>
    <w:rsid w:val="007F01BB"/>
    <w:rPr>
      <w:sz w:val="16"/>
      <w:szCs w:val="16"/>
    </w:rPr>
  </w:style>
  <w:style w:type="paragraph" w:styleId="CommentText">
    <w:name w:val="annotation text"/>
    <w:basedOn w:val="Normal"/>
    <w:link w:val="CommentTextChar"/>
    <w:uiPriority w:val="99"/>
    <w:unhideWhenUsed/>
    <w:rsid w:val="007F01BB"/>
    <w:pPr>
      <w:spacing w:line="240" w:lineRule="auto"/>
    </w:pPr>
    <w:rPr>
      <w:sz w:val="20"/>
      <w:szCs w:val="20"/>
    </w:rPr>
  </w:style>
  <w:style w:type="character" w:customStyle="1" w:styleId="CommentTextChar">
    <w:name w:val="Comment Text Char"/>
    <w:basedOn w:val="DefaultParagraphFont"/>
    <w:link w:val="CommentText"/>
    <w:uiPriority w:val="99"/>
    <w:rsid w:val="007F01BB"/>
    <w:rPr>
      <w:sz w:val="20"/>
      <w:szCs w:val="20"/>
    </w:rPr>
  </w:style>
  <w:style w:type="paragraph" w:styleId="CommentSubject">
    <w:name w:val="annotation subject"/>
    <w:basedOn w:val="CommentText"/>
    <w:next w:val="CommentText"/>
    <w:link w:val="CommentSubjectChar"/>
    <w:uiPriority w:val="99"/>
    <w:semiHidden/>
    <w:unhideWhenUsed/>
    <w:rsid w:val="007F01BB"/>
    <w:rPr>
      <w:b/>
      <w:bCs/>
    </w:rPr>
  </w:style>
  <w:style w:type="character" w:customStyle="1" w:styleId="CommentSubjectChar">
    <w:name w:val="Comment Subject Char"/>
    <w:basedOn w:val="CommentTextChar"/>
    <w:link w:val="CommentSubject"/>
    <w:uiPriority w:val="99"/>
    <w:semiHidden/>
    <w:rsid w:val="007F01BB"/>
    <w:rPr>
      <w:b/>
      <w:bCs/>
      <w:sz w:val="20"/>
      <w:szCs w:val="20"/>
    </w:rPr>
  </w:style>
  <w:style w:type="paragraph" w:styleId="BalloonText">
    <w:name w:val="Balloon Text"/>
    <w:basedOn w:val="Normal"/>
    <w:link w:val="BalloonTextChar"/>
    <w:uiPriority w:val="99"/>
    <w:semiHidden/>
    <w:unhideWhenUsed/>
    <w:rsid w:val="007F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1BB"/>
    <w:rPr>
      <w:rFonts w:ascii="Tahoma" w:hAnsi="Tahoma" w:cs="Tahoma"/>
      <w:sz w:val="16"/>
      <w:szCs w:val="16"/>
    </w:rPr>
  </w:style>
  <w:style w:type="table" w:styleId="TableGrid">
    <w:name w:val="Table Grid"/>
    <w:basedOn w:val="TableNormal"/>
    <w:uiPriority w:val="59"/>
    <w:rsid w:val="00EA05F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5F0"/>
    <w:pPr>
      <w:ind w:left="720"/>
      <w:contextualSpacing/>
    </w:pPr>
    <w:rPr>
      <w:rFonts w:ascii="Arial" w:hAnsi="Arial"/>
    </w:rPr>
  </w:style>
  <w:style w:type="table" w:styleId="LightShading-Accent5">
    <w:name w:val="Light Shading Accent 5"/>
    <w:basedOn w:val="TableNormal"/>
    <w:uiPriority w:val="60"/>
    <w:rsid w:val="00BA281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BA28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BA281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BA281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llowedHyperlink">
    <w:name w:val="FollowedHyperlink"/>
    <w:basedOn w:val="DefaultParagraphFont"/>
    <w:uiPriority w:val="99"/>
    <w:semiHidden/>
    <w:unhideWhenUsed/>
    <w:rsid w:val="00024C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877">
      <w:bodyDiv w:val="1"/>
      <w:marLeft w:val="0"/>
      <w:marRight w:val="0"/>
      <w:marTop w:val="0"/>
      <w:marBottom w:val="0"/>
      <w:divBdr>
        <w:top w:val="none" w:sz="0" w:space="0" w:color="auto"/>
        <w:left w:val="none" w:sz="0" w:space="0" w:color="auto"/>
        <w:bottom w:val="none" w:sz="0" w:space="0" w:color="auto"/>
        <w:right w:val="none" w:sz="0" w:space="0" w:color="auto"/>
      </w:divBdr>
      <w:divsChild>
        <w:div w:id="240524427">
          <w:marLeft w:val="446"/>
          <w:marRight w:val="0"/>
          <w:marTop w:val="0"/>
          <w:marBottom w:val="0"/>
          <w:divBdr>
            <w:top w:val="none" w:sz="0" w:space="0" w:color="auto"/>
            <w:left w:val="none" w:sz="0" w:space="0" w:color="auto"/>
            <w:bottom w:val="none" w:sz="0" w:space="0" w:color="auto"/>
            <w:right w:val="none" w:sz="0" w:space="0" w:color="auto"/>
          </w:divBdr>
        </w:div>
        <w:div w:id="425006355">
          <w:marLeft w:val="446"/>
          <w:marRight w:val="0"/>
          <w:marTop w:val="0"/>
          <w:marBottom w:val="0"/>
          <w:divBdr>
            <w:top w:val="none" w:sz="0" w:space="0" w:color="auto"/>
            <w:left w:val="none" w:sz="0" w:space="0" w:color="auto"/>
            <w:bottom w:val="none" w:sz="0" w:space="0" w:color="auto"/>
            <w:right w:val="none" w:sz="0" w:space="0" w:color="auto"/>
          </w:divBdr>
        </w:div>
        <w:div w:id="1565798407">
          <w:marLeft w:val="446"/>
          <w:marRight w:val="0"/>
          <w:marTop w:val="0"/>
          <w:marBottom w:val="0"/>
          <w:divBdr>
            <w:top w:val="none" w:sz="0" w:space="0" w:color="auto"/>
            <w:left w:val="none" w:sz="0" w:space="0" w:color="auto"/>
            <w:bottom w:val="none" w:sz="0" w:space="0" w:color="auto"/>
            <w:right w:val="none" w:sz="0" w:space="0" w:color="auto"/>
          </w:divBdr>
        </w:div>
        <w:div w:id="1096514856">
          <w:marLeft w:val="446"/>
          <w:marRight w:val="0"/>
          <w:marTop w:val="0"/>
          <w:marBottom w:val="0"/>
          <w:divBdr>
            <w:top w:val="none" w:sz="0" w:space="0" w:color="auto"/>
            <w:left w:val="none" w:sz="0" w:space="0" w:color="auto"/>
            <w:bottom w:val="none" w:sz="0" w:space="0" w:color="auto"/>
            <w:right w:val="none" w:sz="0" w:space="0" w:color="auto"/>
          </w:divBdr>
        </w:div>
        <w:div w:id="1351956375">
          <w:marLeft w:val="446"/>
          <w:marRight w:val="0"/>
          <w:marTop w:val="0"/>
          <w:marBottom w:val="0"/>
          <w:divBdr>
            <w:top w:val="none" w:sz="0" w:space="0" w:color="auto"/>
            <w:left w:val="none" w:sz="0" w:space="0" w:color="auto"/>
            <w:bottom w:val="none" w:sz="0" w:space="0" w:color="auto"/>
            <w:right w:val="none" w:sz="0" w:space="0" w:color="auto"/>
          </w:divBdr>
        </w:div>
        <w:div w:id="1574730988">
          <w:marLeft w:val="446"/>
          <w:marRight w:val="0"/>
          <w:marTop w:val="0"/>
          <w:marBottom w:val="0"/>
          <w:divBdr>
            <w:top w:val="none" w:sz="0" w:space="0" w:color="auto"/>
            <w:left w:val="none" w:sz="0" w:space="0" w:color="auto"/>
            <w:bottom w:val="none" w:sz="0" w:space="0" w:color="auto"/>
            <w:right w:val="none" w:sz="0" w:space="0" w:color="auto"/>
          </w:divBdr>
        </w:div>
      </w:divsChild>
    </w:div>
    <w:div w:id="613832058">
      <w:bodyDiv w:val="1"/>
      <w:marLeft w:val="0"/>
      <w:marRight w:val="0"/>
      <w:marTop w:val="0"/>
      <w:marBottom w:val="0"/>
      <w:divBdr>
        <w:top w:val="none" w:sz="0" w:space="0" w:color="auto"/>
        <w:left w:val="none" w:sz="0" w:space="0" w:color="auto"/>
        <w:bottom w:val="none" w:sz="0" w:space="0" w:color="auto"/>
        <w:right w:val="none" w:sz="0" w:space="0" w:color="auto"/>
      </w:divBdr>
    </w:div>
    <w:div w:id="1015158204">
      <w:bodyDiv w:val="1"/>
      <w:marLeft w:val="0"/>
      <w:marRight w:val="0"/>
      <w:marTop w:val="0"/>
      <w:marBottom w:val="0"/>
      <w:divBdr>
        <w:top w:val="none" w:sz="0" w:space="0" w:color="auto"/>
        <w:left w:val="none" w:sz="0" w:space="0" w:color="auto"/>
        <w:bottom w:val="none" w:sz="0" w:space="0" w:color="auto"/>
        <w:right w:val="none" w:sz="0" w:space="0" w:color="auto"/>
      </w:divBdr>
    </w:div>
    <w:div w:id="1093553142">
      <w:bodyDiv w:val="1"/>
      <w:marLeft w:val="0"/>
      <w:marRight w:val="0"/>
      <w:marTop w:val="0"/>
      <w:marBottom w:val="0"/>
      <w:divBdr>
        <w:top w:val="none" w:sz="0" w:space="0" w:color="auto"/>
        <w:left w:val="none" w:sz="0" w:space="0" w:color="auto"/>
        <w:bottom w:val="none" w:sz="0" w:space="0" w:color="auto"/>
        <w:right w:val="none" w:sz="0" w:space="0" w:color="auto"/>
      </w:divBdr>
    </w:div>
    <w:div w:id="1687629852">
      <w:bodyDiv w:val="1"/>
      <w:marLeft w:val="0"/>
      <w:marRight w:val="0"/>
      <w:marTop w:val="0"/>
      <w:marBottom w:val="0"/>
      <w:divBdr>
        <w:top w:val="none" w:sz="0" w:space="0" w:color="auto"/>
        <w:left w:val="none" w:sz="0" w:space="0" w:color="auto"/>
        <w:bottom w:val="none" w:sz="0" w:space="0" w:color="auto"/>
        <w:right w:val="none" w:sz="0" w:space="0" w:color="auto"/>
      </w:divBdr>
    </w:div>
    <w:div w:id="1876967243">
      <w:bodyDiv w:val="1"/>
      <w:marLeft w:val="0"/>
      <w:marRight w:val="0"/>
      <w:marTop w:val="0"/>
      <w:marBottom w:val="0"/>
      <w:divBdr>
        <w:top w:val="none" w:sz="0" w:space="0" w:color="auto"/>
        <w:left w:val="none" w:sz="0" w:space="0" w:color="auto"/>
        <w:bottom w:val="none" w:sz="0" w:space="0" w:color="auto"/>
        <w:right w:val="none" w:sz="0" w:space="0" w:color="auto"/>
      </w:divBdr>
      <w:divsChild>
        <w:div w:id="427585813">
          <w:marLeft w:val="446"/>
          <w:marRight w:val="0"/>
          <w:marTop w:val="0"/>
          <w:marBottom w:val="0"/>
          <w:divBdr>
            <w:top w:val="none" w:sz="0" w:space="0" w:color="auto"/>
            <w:left w:val="none" w:sz="0" w:space="0" w:color="auto"/>
            <w:bottom w:val="none" w:sz="0" w:space="0" w:color="auto"/>
            <w:right w:val="none" w:sz="0" w:space="0" w:color="auto"/>
          </w:divBdr>
        </w:div>
        <w:div w:id="1764758532">
          <w:marLeft w:val="446"/>
          <w:marRight w:val="0"/>
          <w:marTop w:val="0"/>
          <w:marBottom w:val="0"/>
          <w:divBdr>
            <w:top w:val="none" w:sz="0" w:space="0" w:color="auto"/>
            <w:left w:val="none" w:sz="0" w:space="0" w:color="auto"/>
            <w:bottom w:val="none" w:sz="0" w:space="0" w:color="auto"/>
            <w:right w:val="none" w:sz="0" w:space="0" w:color="auto"/>
          </w:divBdr>
        </w:div>
        <w:div w:id="1518957635">
          <w:marLeft w:val="446"/>
          <w:marRight w:val="0"/>
          <w:marTop w:val="0"/>
          <w:marBottom w:val="0"/>
          <w:divBdr>
            <w:top w:val="none" w:sz="0" w:space="0" w:color="auto"/>
            <w:left w:val="none" w:sz="0" w:space="0" w:color="auto"/>
            <w:bottom w:val="none" w:sz="0" w:space="0" w:color="auto"/>
            <w:right w:val="none" w:sz="0" w:space="0" w:color="auto"/>
          </w:divBdr>
        </w:div>
        <w:div w:id="1159736669">
          <w:marLeft w:val="446"/>
          <w:marRight w:val="0"/>
          <w:marTop w:val="0"/>
          <w:marBottom w:val="0"/>
          <w:divBdr>
            <w:top w:val="none" w:sz="0" w:space="0" w:color="auto"/>
            <w:left w:val="none" w:sz="0" w:space="0" w:color="auto"/>
            <w:bottom w:val="none" w:sz="0" w:space="0" w:color="auto"/>
            <w:right w:val="none" w:sz="0" w:space="0" w:color="auto"/>
          </w:divBdr>
        </w:div>
        <w:div w:id="656541841">
          <w:marLeft w:val="446"/>
          <w:marRight w:val="0"/>
          <w:marTop w:val="0"/>
          <w:marBottom w:val="0"/>
          <w:divBdr>
            <w:top w:val="none" w:sz="0" w:space="0" w:color="auto"/>
            <w:left w:val="none" w:sz="0" w:space="0" w:color="auto"/>
            <w:bottom w:val="none" w:sz="0" w:space="0" w:color="auto"/>
            <w:right w:val="none" w:sz="0" w:space="0" w:color="auto"/>
          </w:divBdr>
        </w:div>
        <w:div w:id="1404413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issa-corbisiero-peters@chcymru.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ve.Evans@chcymru.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cottishhousingregulator.gov.uk/sites/default/files/publications/National%20Report%20090901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27A44-F619-4AAE-B080-0232DAC2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MacNamara</dc:creator>
  <cp:lastModifiedBy>Bethan Davies</cp:lastModifiedBy>
  <cp:revision>3</cp:revision>
  <cp:lastPrinted>2017-06-12T15:46:00Z</cp:lastPrinted>
  <dcterms:created xsi:type="dcterms:W3CDTF">2017-07-17T14:18:00Z</dcterms:created>
  <dcterms:modified xsi:type="dcterms:W3CDTF">2017-07-17T14:31:00Z</dcterms:modified>
</cp:coreProperties>
</file>